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  <w:b/>
          <w:sz w:val="40"/>
        </w:rPr>
        <w:t xml:space="preserve">Brief: Purchase orders - raise and approve</w:t>
      </w:r>
    </w:p>
    <w:p>
      <w:pPr>
        <w:spacing w:after="240"/>
      </w:pPr>
      <w:r>
        <w:rPr>
          <w:rFonts w:ascii="Calibri" w:hAnsi="Calibri"/>
          <w:sz w:val="20"/>
          <w:color w:val="5B6675"/>
        </w:rPr>
        <w:t xml:space="preserve">Version 2. Submitted 24 July 2026 by Priya Nair. Locked 28 July 2026 by Helen Marsh.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Business outcome</w:t>
      </w:r>
    </w:p>
    <w:p>
      <w:pPr>
        <w:spacing w:after="120"/>
      </w:pPr>
      <w:r>
        <w:rPr>
          <w:rFonts w:ascii="Calibri" w:hAnsi="Calibri"/>
          <w:sz w:val="22"/>
        </w:rPr>
        <w:t xml:space="preserve">Raise a PO against a project, route it by value, approve it on a phone, post it to the ERP. Audit trail on every step.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Current state</w:t>
      </w:r>
    </w:p>
    <w:p>
      <w:pPr>
        <w:spacing w:after="120"/>
      </w:pPr>
      <w:r>
        <w:rPr>
          <w:rFonts w:ascii="Calibri" w:hAnsi="Calibri"/>
          <w:sz w:val="22"/>
        </w:rPr>
        <w:t xml:space="preserve">PO template in Excel, emailed for signature, re-keyed into the ERP by accounts. About 40 a week. No view of committed cost until the invoice lands.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What the module must do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Raise a PO against a project with line items, quantities, unit prices and GST calculated.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Route by the ex GST total: one approver under $25,000, two at or over.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Approve or reject with a note from a phone.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Post approved POs to the ERP as committed cost with a sync reference.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Keep an audit trail per PO: who did what, when.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Out of scope for this brief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Receipting and three-way match (separate request).</w:t>
      </w:r>
    </w:p>
    <w:p>
      <w:pPr>
        <w:ind w:left="360" w:hanging="200"/>
        <w:spacing w:after="40"/>
      </w:pPr>
      <w:r>
        <w:rPr>
          <w:rFonts w:ascii="Calibri" w:hAnsi="Calibri"/>
          <w:sz w:val="22"/>
        </w:rPr>
        <w:t xml:space="preserve">•  Standing supply agreements.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Sign-off</w:t>
      </w:r>
    </w:p>
    <w:p>
      <w:pPr>
        <w:spacing w:after="120"/>
      </w:pPr>
      <w:r>
        <w:rPr>
          <w:rFonts w:ascii="Calibri" w:hAnsi="Calibri"/>
          <w:sz w:val="22"/>
        </w:rPr>
        <w:t xml:space="preserve">Priya Nair (Procurement Manager) and Helen Marsh (Head of Finance) sign off on production. Internal owner: Priya Nair.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 xml:space="preserve">Attachments</w:t>
      </w:r>
    </w:p>
    <w:p>
      <w:pPr>
        <w:spacing w:after="120"/>
      </w:pPr>
      <w:r>
        <w:rPr>
          <w:rFonts w:ascii="Calibri" w:hAnsi="Calibri"/>
          <w:sz w:val="22"/>
        </w:rPr>
        <w:t xml:space="preserve">Process map v2 (PDF). PO approval flow, current state (PNG).</w:t>
      </w:r>
    </w:p>
    <w:sectPr>
      <w:pgSz w:w="11906" w:h="16838"/>
      <w:pgMar w:top="1440" w:right="1440" w:bottom="1440" w:left="1440"/>
    </w:sectPr>
  </w:body>
</w:document>
</file>