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CD3A" w14:textId="77777777" w:rsidR="007927DD" w:rsidRDefault="00000000">
      <w:pPr>
        <w:pStyle w:val="Heading1"/>
      </w:pPr>
      <w:r>
        <w:t>Appendix A1 Replication – Ordinal Logistic Regression</w:t>
      </w:r>
    </w:p>
    <w:p w14:paraId="479FCE09" w14:textId="77777777" w:rsidR="007927DD" w:rsidRDefault="00000000">
      <w:r>
        <w:t>Prepared by: Leila Safari</w:t>
      </w:r>
      <w:r>
        <w:br/>
        <w:t>Course: MSE 609 – Quantitative Data Analysis</w:t>
      </w:r>
      <w:r>
        <w:br/>
        <w:t>Group 11 – Fall 2025</w:t>
      </w:r>
    </w:p>
    <w:p w14:paraId="58B0104D" w14:textId="77777777" w:rsidR="007927DD" w:rsidRDefault="00000000">
      <w:pPr>
        <w:pStyle w:val="Heading2"/>
      </w:pPr>
      <w:r>
        <w:t>1. Executive Summary</w:t>
      </w:r>
    </w:p>
    <w:p w14:paraId="756E3C6D" w14:textId="77777777" w:rsidR="007927DD" w:rsidRDefault="00000000">
      <w:r>
        <w:t>This document provides a complete replication of Appendix A1 from the article “Knowledge is Not All You Need for Comfort in Use of AI in Healthcare.” The original study uses Ordinal Logistic Regression (Proportional Odds Model) to analyze four 4-point Likert outcomes (Q40–Q43). Using strict filtering, correct factor encoding, and proportional-odds modeling, this replication reproduces the structure, direction, and significance of the published results.</w:t>
      </w:r>
    </w:p>
    <w:p w14:paraId="2111155D" w14:textId="77777777" w:rsidR="007927DD" w:rsidRDefault="00000000">
      <w:pPr>
        <w:pStyle w:val="Heading2"/>
      </w:pPr>
      <w:r>
        <w:t>2. Modeling Framework</w:t>
      </w:r>
    </w:p>
    <w:p w14:paraId="276D5CB0" w14:textId="77777777" w:rsidR="007927DD" w:rsidRDefault="00000000">
      <w:r>
        <w:t>The dependent variables (Q40–Q43) are ordered categorical variables measured on a 4‑point Likert scale:</w:t>
      </w:r>
      <w:r>
        <w:br/>
        <w:t>1 = Not at all</w:t>
      </w:r>
      <w:r>
        <w:br/>
        <w:t>2 = Not very</w:t>
      </w:r>
      <w:r>
        <w:br/>
        <w:t>3 = Somewhat</w:t>
      </w:r>
      <w:r>
        <w:br/>
        <w:t>4 = Very</w:t>
      </w:r>
      <w:r>
        <w:br/>
      </w:r>
      <w:r>
        <w:br/>
        <w:t>Because these categories are ordered but not equally spaced, the proper method is Ordinal Logistic Regression. We replicate the paper using MASS::polr(method = 'logistic').</w:t>
      </w:r>
    </w:p>
    <w:p w14:paraId="2989A5DA" w14:textId="77777777" w:rsidR="007927DD" w:rsidRDefault="00000000">
      <w:pPr>
        <w:pStyle w:val="Heading2"/>
      </w:pPr>
      <w:r>
        <w:t>3. Variables and Coding</w:t>
      </w:r>
    </w:p>
    <w:p w14:paraId="20AC74D6" w14:textId="77777777" w:rsidR="007927DD" w:rsidRDefault="00000000">
      <w:r>
        <w:t>The following independent variables are included exactly as in the published model:</w:t>
      </w:r>
    </w:p>
    <w:tbl>
      <w:tblPr>
        <w:tblW w:w="0" w:type="auto"/>
        <w:tblLook w:val="04A0" w:firstRow="1" w:lastRow="0" w:firstColumn="1" w:lastColumn="0" w:noHBand="0" w:noVBand="1"/>
      </w:tblPr>
      <w:tblGrid>
        <w:gridCol w:w="2880"/>
        <w:gridCol w:w="2880"/>
        <w:gridCol w:w="2880"/>
      </w:tblGrid>
      <w:tr w:rsidR="007927DD" w14:paraId="6430D524" w14:textId="77777777">
        <w:tc>
          <w:tcPr>
            <w:tcW w:w="2880" w:type="dxa"/>
          </w:tcPr>
          <w:p w14:paraId="130B0B03" w14:textId="77777777" w:rsidR="007927DD" w:rsidRDefault="00000000">
            <w:r>
              <w:t>Variable</w:t>
            </w:r>
          </w:p>
        </w:tc>
        <w:tc>
          <w:tcPr>
            <w:tcW w:w="2880" w:type="dxa"/>
          </w:tcPr>
          <w:p w14:paraId="29B240B1" w14:textId="77777777" w:rsidR="007927DD" w:rsidRDefault="00000000">
            <w:r>
              <w:t>Meaning</w:t>
            </w:r>
          </w:p>
        </w:tc>
        <w:tc>
          <w:tcPr>
            <w:tcW w:w="2880" w:type="dxa"/>
          </w:tcPr>
          <w:p w14:paraId="36688E88" w14:textId="77777777" w:rsidR="007927DD" w:rsidRDefault="00000000">
            <w:r>
              <w:t>Reference Category</w:t>
            </w:r>
          </w:p>
        </w:tc>
      </w:tr>
      <w:tr w:rsidR="007927DD" w14:paraId="186B3B52" w14:textId="77777777">
        <w:tc>
          <w:tcPr>
            <w:tcW w:w="2880" w:type="dxa"/>
          </w:tcPr>
          <w:p w14:paraId="406DA8D5" w14:textId="77777777" w:rsidR="007927DD" w:rsidRDefault="00000000">
            <w:r>
              <w:t>age_new</w:t>
            </w:r>
          </w:p>
        </w:tc>
        <w:tc>
          <w:tcPr>
            <w:tcW w:w="2880" w:type="dxa"/>
          </w:tcPr>
          <w:p w14:paraId="49F2DCA7" w14:textId="77777777" w:rsidR="007927DD" w:rsidRDefault="00000000">
            <w:r>
              <w:t>Age group</w:t>
            </w:r>
          </w:p>
        </w:tc>
        <w:tc>
          <w:tcPr>
            <w:tcW w:w="2880" w:type="dxa"/>
          </w:tcPr>
          <w:p w14:paraId="0507D461" w14:textId="77777777" w:rsidR="007927DD" w:rsidRDefault="00000000">
            <w:r>
              <w:t>16–24</w:t>
            </w:r>
          </w:p>
        </w:tc>
      </w:tr>
      <w:tr w:rsidR="007927DD" w14:paraId="74113288" w14:textId="77777777">
        <w:tc>
          <w:tcPr>
            <w:tcW w:w="2880" w:type="dxa"/>
          </w:tcPr>
          <w:p w14:paraId="64CF8776" w14:textId="77777777" w:rsidR="007927DD" w:rsidRDefault="00000000">
            <w:r>
              <w:t>gender</w:t>
            </w:r>
          </w:p>
        </w:tc>
        <w:tc>
          <w:tcPr>
            <w:tcW w:w="2880" w:type="dxa"/>
          </w:tcPr>
          <w:p w14:paraId="088CAF6F" w14:textId="77777777" w:rsidR="007927DD" w:rsidRDefault="00000000">
            <w:r>
              <w:t>Gender identity</w:t>
            </w:r>
          </w:p>
        </w:tc>
        <w:tc>
          <w:tcPr>
            <w:tcW w:w="2880" w:type="dxa"/>
          </w:tcPr>
          <w:p w14:paraId="1832E894" w14:textId="77777777" w:rsidR="007927DD" w:rsidRDefault="00000000">
            <w:r>
              <w:t>Male</w:t>
            </w:r>
          </w:p>
        </w:tc>
      </w:tr>
      <w:tr w:rsidR="007927DD" w14:paraId="732411D9" w14:textId="77777777">
        <w:tc>
          <w:tcPr>
            <w:tcW w:w="2880" w:type="dxa"/>
          </w:tcPr>
          <w:p w14:paraId="52CC7128" w14:textId="77777777" w:rsidR="007927DD" w:rsidRDefault="00000000">
            <w:r>
              <w:t>Q55</w:t>
            </w:r>
          </w:p>
        </w:tc>
        <w:tc>
          <w:tcPr>
            <w:tcW w:w="2880" w:type="dxa"/>
          </w:tcPr>
          <w:p w14:paraId="081DFF26" w14:textId="77777777" w:rsidR="007927DD" w:rsidRDefault="00000000">
            <w:r>
              <w:t>Household income</w:t>
            </w:r>
          </w:p>
        </w:tc>
        <w:tc>
          <w:tcPr>
            <w:tcW w:w="2880" w:type="dxa"/>
          </w:tcPr>
          <w:p w14:paraId="01D212B3" w14:textId="77777777" w:rsidR="007927DD" w:rsidRDefault="00000000">
            <w:r>
              <w:t>&lt; $24,999</w:t>
            </w:r>
          </w:p>
        </w:tc>
      </w:tr>
      <w:tr w:rsidR="007927DD" w14:paraId="30103A22" w14:textId="77777777">
        <w:tc>
          <w:tcPr>
            <w:tcW w:w="2880" w:type="dxa"/>
          </w:tcPr>
          <w:p w14:paraId="49CDB436" w14:textId="77777777" w:rsidR="007927DD" w:rsidRDefault="00000000">
            <w:r>
              <w:t>Q66</w:t>
            </w:r>
          </w:p>
        </w:tc>
        <w:tc>
          <w:tcPr>
            <w:tcW w:w="2880" w:type="dxa"/>
          </w:tcPr>
          <w:p w14:paraId="73874844" w14:textId="77777777" w:rsidR="007927DD" w:rsidRDefault="00000000">
            <w:r>
              <w:t>Education level</w:t>
            </w:r>
          </w:p>
        </w:tc>
        <w:tc>
          <w:tcPr>
            <w:tcW w:w="2880" w:type="dxa"/>
          </w:tcPr>
          <w:p w14:paraId="27EC51F0" w14:textId="77777777" w:rsidR="007927DD" w:rsidRDefault="00000000">
            <w:r>
              <w:t>High school</w:t>
            </w:r>
          </w:p>
        </w:tc>
      </w:tr>
    </w:tbl>
    <w:p w14:paraId="7992EAF0" w14:textId="77777777" w:rsidR="007927DD" w:rsidRDefault="00000000">
      <w:r>
        <w:t>Missing-value codes (96, 97, 98, 99) were recoded as NA. Strict filtering (removing any record with missing predictors or outcomes) produces n = 9,198, which matches Table 1 in the published paper.</w:t>
      </w:r>
    </w:p>
    <w:p w14:paraId="144BE90F" w14:textId="77777777" w:rsidR="007927DD" w:rsidRDefault="00000000">
      <w:pPr>
        <w:pStyle w:val="Heading2"/>
      </w:pPr>
      <w:r>
        <w:t>4. Model Specification</w:t>
      </w:r>
    </w:p>
    <w:p w14:paraId="3F389F45" w14:textId="77777777" w:rsidR="007927DD" w:rsidRDefault="00000000">
      <w:r>
        <w:t>The proportional-odds logistic regression model is defined as:</w:t>
      </w:r>
      <w:r>
        <w:br/>
        <w:t>logit(P(Y ≥ k)) = α_k – βX</w:t>
      </w:r>
      <w:r>
        <w:br/>
      </w:r>
      <w:r>
        <w:lastRenderedPageBreak/>
        <w:br/>
        <w:t>Separate models were fit for Q40, Q41, Q42, and Q43. Predictors included age, gender, income, and education. No interaction terms were included to match the paper’s specification.</w:t>
      </w:r>
    </w:p>
    <w:p w14:paraId="7A42E418" w14:textId="77777777" w:rsidR="007927DD" w:rsidRDefault="00000000">
      <w:pPr>
        <w:pStyle w:val="Heading2"/>
      </w:pPr>
      <w:r>
        <w:t>5. Replication Procedure</w:t>
      </w:r>
    </w:p>
    <w:p w14:paraId="7335583D" w14:textId="77777777" w:rsidR="007927DD" w:rsidRDefault="00000000">
      <w:r>
        <w:t>• Loaded clean_data_strict.rds.</w:t>
      </w:r>
    </w:p>
    <w:p w14:paraId="60870F2C" w14:textId="77777777" w:rsidR="007927DD" w:rsidRDefault="00000000">
      <w:r>
        <w:t>• Re-coded all predictors as ordered factors with explicit reference categories.</w:t>
      </w:r>
    </w:p>
    <w:p w14:paraId="385E044B" w14:textId="77777777" w:rsidR="007927DD" w:rsidRDefault="00000000">
      <w:r>
        <w:t>• Fit MASS::polr models for Q40–Q43.</w:t>
      </w:r>
    </w:p>
    <w:p w14:paraId="09D78E03" w14:textId="77777777" w:rsidR="007927DD" w:rsidRDefault="00000000">
      <w:r>
        <w:t>• Converted coefficients to odds ratios and created 95% confidence intervals.</w:t>
      </w:r>
    </w:p>
    <w:p w14:paraId="2D6FB79F" w14:textId="77777777" w:rsidR="007927DD" w:rsidRDefault="00000000">
      <w:r>
        <w:t>• Exported tables using R/04_export_regression_tables.R.</w:t>
      </w:r>
    </w:p>
    <w:p w14:paraId="31E420E2" w14:textId="77777777" w:rsidR="007927DD" w:rsidRDefault="00000000">
      <w:r>
        <w:t>• Compared results with the published Appendix A1.</w:t>
      </w:r>
    </w:p>
    <w:p w14:paraId="17CE5AF1" w14:textId="77777777" w:rsidR="007927DD" w:rsidRDefault="00000000">
      <w:r>
        <w:t>• Recorded discrepancies in Gaps.md.</w:t>
      </w:r>
    </w:p>
    <w:p w14:paraId="6283850C" w14:textId="77777777" w:rsidR="007927DD" w:rsidRDefault="00000000">
      <w:pPr>
        <w:pStyle w:val="Heading2"/>
      </w:pPr>
      <w:r>
        <w:t>6. Findings</w:t>
      </w:r>
    </w:p>
    <w:p w14:paraId="6A9411B9" w14:textId="77777777" w:rsidR="007927DD" w:rsidRDefault="00000000">
      <w:r>
        <w:t>The replicated models reproduce all major qualitative findings from the article:</w:t>
      </w:r>
      <w:r>
        <w:br/>
        <w:t>- Older respondents consistently show lower AI knowledge and lower comfort.</w:t>
      </w:r>
      <w:r>
        <w:br/>
        <w:t>- Female respondents show lower comfort and lower knowledge across outcomes.</w:t>
      </w:r>
      <w:r>
        <w:br/>
        <w:t>- Higher income increases comfort and acceptance of AI.</w:t>
      </w:r>
      <w:r>
        <w:br/>
        <w:t>- Education shows the strongest positive gradient: higher degrees yield higher odds.</w:t>
      </w:r>
    </w:p>
    <w:p w14:paraId="4D78C36B" w14:textId="77777777" w:rsidR="007927DD" w:rsidRDefault="00000000">
      <w:pPr>
        <w:pStyle w:val="Heading2"/>
      </w:pPr>
      <w:r>
        <w:t>7. Discrepancies and Explanations</w:t>
      </w:r>
    </w:p>
    <w:p w14:paraId="2CEDB837" w14:textId="77777777" w:rsidR="007927DD" w:rsidRDefault="00000000">
      <w:r>
        <w:t>Small differences in odds ratios (typically 3–10%) are expected and documented in Gaps.md. Likely causes include:</w:t>
      </w:r>
      <w:r>
        <w:br/>
        <w:t>- Strict filtering vs. question‑specific filtering used by authors.</w:t>
      </w:r>
      <w:r>
        <w:br/>
        <w:t>- Proportional-odds assumption violations (not discussed in paper).</w:t>
      </w:r>
      <w:r>
        <w:br/>
        <w:t>- SPSS vs. R threshold estimation differences.</w:t>
      </w:r>
      <w:r>
        <w:br/>
        <w:t>- Small sample sizes for rare categories (PhD, Medical, Other gender).</w:t>
      </w:r>
      <w:r>
        <w:br/>
        <w:t>- Possible undisclosed weighting procedures.</w:t>
      </w:r>
    </w:p>
    <w:p w14:paraId="36C0CF60" w14:textId="77777777" w:rsidR="007927DD" w:rsidRDefault="00000000">
      <w:pPr>
        <w:pStyle w:val="Heading2"/>
      </w:pPr>
      <w:r>
        <w:t>8. Output Files</w:t>
      </w:r>
    </w:p>
    <w:p w14:paraId="1DE074F6" w14:textId="77777777" w:rsidR="007927DD" w:rsidRDefault="00000000">
      <w:r>
        <w:t>• output/tableA1_combined.html</w:t>
      </w:r>
    </w:p>
    <w:p w14:paraId="46F3C819" w14:textId="77777777" w:rsidR="007927DD" w:rsidRDefault="00000000">
      <w:r>
        <w:t>• output/tableA1_combined.csv</w:t>
      </w:r>
    </w:p>
    <w:p w14:paraId="115052E8" w14:textId="1FEBA491" w:rsidR="007927DD" w:rsidRDefault="00000000">
      <w:r>
        <w:t>• docs/AppendixA1_</w:t>
      </w:r>
      <w:r w:rsidR="00490A21">
        <w:t>W</w:t>
      </w:r>
      <w:r>
        <w:t>riteup.md</w:t>
      </w:r>
    </w:p>
    <w:p w14:paraId="5189505E" w14:textId="77777777" w:rsidR="007927DD" w:rsidRDefault="00000000">
      <w:r>
        <w:t>• docs/Gaps.md</w:t>
      </w:r>
    </w:p>
    <w:p w14:paraId="1BDD07EF" w14:textId="77777777" w:rsidR="007927DD" w:rsidRDefault="00000000">
      <w:pPr>
        <w:pStyle w:val="Heading2"/>
      </w:pPr>
      <w:r>
        <w:lastRenderedPageBreak/>
        <w:t>9. Conclusion</w:t>
      </w:r>
    </w:p>
    <w:p w14:paraId="098610E1" w14:textId="77777777" w:rsidR="007927DD" w:rsidRDefault="00000000">
      <w:r>
        <w:t>This replication faithfully reconstructs the methodology and statistical results of Appendix A1 using an open and reproducible pipeline. Although minor numerical differences exist, the structural and interpretive results align strongly with the published study, and discrepancies are fully documented.</w:t>
      </w:r>
    </w:p>
    <w:sectPr w:rsidR="007927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008403">
    <w:abstractNumId w:val="8"/>
  </w:num>
  <w:num w:numId="2" w16cid:durableId="454637322">
    <w:abstractNumId w:val="6"/>
  </w:num>
  <w:num w:numId="3" w16cid:durableId="236745355">
    <w:abstractNumId w:val="5"/>
  </w:num>
  <w:num w:numId="4" w16cid:durableId="1397315490">
    <w:abstractNumId w:val="4"/>
  </w:num>
  <w:num w:numId="5" w16cid:durableId="893538613">
    <w:abstractNumId w:val="7"/>
  </w:num>
  <w:num w:numId="6" w16cid:durableId="441270299">
    <w:abstractNumId w:val="3"/>
  </w:num>
  <w:num w:numId="7" w16cid:durableId="2091390758">
    <w:abstractNumId w:val="2"/>
  </w:num>
  <w:num w:numId="8" w16cid:durableId="1638097806">
    <w:abstractNumId w:val="1"/>
  </w:num>
  <w:num w:numId="9" w16cid:durableId="2479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A21"/>
    <w:rsid w:val="007927DD"/>
    <w:rsid w:val="00AA1D8D"/>
    <w:rsid w:val="00B47730"/>
    <w:rsid w:val="00CB0664"/>
    <w:rsid w:val="00D61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6320E"/>
  <w14:defaultImageDpi w14:val="300"/>
  <w15:docId w15:val="{C74EEF62-5F4F-49A5-BD59-2FE86298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Leila Safari</cp:lastModifiedBy>
  <cp:revision>2</cp:revision>
  <dcterms:created xsi:type="dcterms:W3CDTF">2025-11-16T17:34:00Z</dcterms:created>
  <dcterms:modified xsi:type="dcterms:W3CDTF">2025-11-16T17:34:00Z</dcterms:modified>
  <cp:category/>
</cp:coreProperties>
</file>