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6170"/>
        <w:gridCol w:w="2680"/>
      </w:tblGrid>
      <w:tr w:rsidR="00616BFE" w:rsidRPr="00616BFE" w14:paraId="37E4BB1F" w14:textId="77777777" w:rsidTr="00F46A39">
        <w:trPr>
          <w:trHeight w:val="1259"/>
          <w:jc w:val="center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C21FF" w14:textId="66B70114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616BF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07205350" wp14:editId="192D17AD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171450</wp:posOffset>
                  </wp:positionV>
                  <wp:extent cx="835025" cy="56642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111558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  IMAS – Instituto Maria </w:t>
            </w:r>
            <w:proofErr w:type="spellStart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>Schimitt</w:t>
            </w:r>
            <w:proofErr w:type="spellEnd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de Desenvolvimento de Ensino,</w:t>
            </w:r>
          </w:p>
          <w:p w14:paraId="2F6CA56A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Assistência Social e Saúde do Cidadão – IMAS</w:t>
            </w:r>
          </w:p>
          <w:p w14:paraId="7612A22E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Book Antiqua"/>
                <w:b/>
                <w:bCs/>
                <w:sz w:val="18"/>
                <w:szCs w:val="18"/>
                <w:lang w:eastAsia="pt-BR"/>
              </w:rPr>
              <w:t>HOSPITAL FLORIANÓPOLIS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E4B446" w14:textId="6E46A6F4" w:rsidR="00616BFE" w:rsidRPr="00616BFE" w:rsidRDefault="00616BFE" w:rsidP="00616BF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D03013" wp14:editId="5CFE246A">
                  <wp:extent cx="647700" cy="704850"/>
                  <wp:effectExtent l="0" t="0" r="0" b="0"/>
                  <wp:docPr id="2" name="Imagem 2" descr="Logo 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 xml:space="preserve">        </w:t>
            </w:r>
            <w:r w:rsidRPr="00616BFE">
              <w:rPr>
                <w:rFonts w:ascii="Book Antiqua" w:eastAsia="Times New Roman" w:hAnsi="Book Antiqua" w:cs="Book Antiqua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DD0FF3A" wp14:editId="3F48464B">
                  <wp:extent cx="638175" cy="600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28DDC1" wp14:editId="72E8F68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72390</wp:posOffset>
                  </wp:positionV>
                  <wp:extent cx="711200" cy="651510"/>
                  <wp:effectExtent l="0" t="0" r="0" b="0"/>
                  <wp:wrapNone/>
                  <wp:docPr id="3" name="Imagem 3" descr="Logo SPDM 2012 -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Logo SPDM 2012 -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423EAF" w14:textId="54428858" w:rsidR="00E342FD" w:rsidRPr="00CD31A6" w:rsidRDefault="00D05155" w:rsidP="00E11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7ADC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2027</w:t>
      </w:r>
    </w:p>
    <w:p w14:paraId="06CCB5FD" w14:textId="46953048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</w:t>
      </w:r>
      <w:r w:rsidR="00922BD1">
        <w:rPr>
          <w:rFonts w:ascii="Times New Roman" w:hAnsi="Times New Roman" w:cs="Times New Roman"/>
          <w:sz w:val="24"/>
          <w:szCs w:val="24"/>
        </w:rPr>
        <w:t>agem do Hospital Florianópolis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 xml:space="preserve">em conformidade com a Resolução 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194FB2D7" w14:textId="77777777" w:rsidR="009E46C4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</w:t>
      </w:r>
      <w:r w:rsidR="00922BD1">
        <w:rPr>
          <w:rFonts w:ascii="Times New Roman" w:hAnsi="Times New Roman" w:cs="Times New Roman"/>
          <w:sz w:val="24"/>
          <w:szCs w:val="24"/>
        </w:rPr>
        <w:t xml:space="preserve">o Hospital Florianópolis </w:t>
      </w:r>
      <w:r w:rsidRPr="00106212">
        <w:rPr>
          <w:rFonts w:ascii="Times New Roman" w:hAnsi="Times New Roman" w:cs="Times New Roman"/>
          <w:sz w:val="24"/>
          <w:szCs w:val="24"/>
        </w:rPr>
        <w:t>será composta por</w:t>
      </w:r>
      <w:r w:rsidR="00922BD1">
        <w:rPr>
          <w:rFonts w:ascii="Times New Roman" w:hAnsi="Times New Roman" w:cs="Times New Roman"/>
          <w:sz w:val="24"/>
          <w:szCs w:val="24"/>
        </w:rPr>
        <w:t xml:space="preserve"> (05) cinco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5B4DB9">
        <w:rPr>
          <w:rFonts w:ascii="Times New Roman" w:hAnsi="Times New Roman" w:cs="Times New Roman"/>
          <w:sz w:val="24"/>
          <w:szCs w:val="24"/>
        </w:rPr>
        <w:t xml:space="preserve"> (0</w:t>
      </w:r>
      <w:r w:rsidR="00896E02">
        <w:rPr>
          <w:rFonts w:ascii="Times New Roman" w:hAnsi="Times New Roman" w:cs="Times New Roman"/>
          <w:sz w:val="24"/>
          <w:szCs w:val="24"/>
        </w:rPr>
        <w:t>3</w:t>
      </w:r>
      <w:r w:rsidR="005B4DB9">
        <w:rPr>
          <w:rFonts w:ascii="Times New Roman" w:hAnsi="Times New Roman" w:cs="Times New Roman"/>
          <w:sz w:val="24"/>
          <w:szCs w:val="24"/>
        </w:rPr>
        <w:t>)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351FA026" w:rsidR="00187CB5" w:rsidRPr="009E46C4" w:rsidRDefault="00187CB5" w:rsidP="00E342FD">
      <w:pPr>
        <w:jc w:val="both"/>
        <w:rPr>
          <w:rFonts w:ascii="Arial" w:hAnsi="Arial" w:cs="Arial"/>
          <w:sz w:val="18"/>
          <w:szCs w:val="18"/>
        </w:rPr>
      </w:pPr>
      <w:r w:rsidRPr="009E46C4">
        <w:rPr>
          <w:rFonts w:ascii="Arial" w:hAnsi="Arial" w:cs="Arial"/>
          <w:sz w:val="18"/>
          <w:szCs w:val="18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696"/>
        <w:gridCol w:w="2839"/>
      </w:tblGrid>
      <w:tr w:rsidR="002C2956" w:rsidRPr="009E46C4" w14:paraId="11861915" w14:textId="77777777" w:rsidTr="005B4DB9">
        <w:tc>
          <w:tcPr>
            <w:tcW w:w="959" w:type="dxa"/>
          </w:tcPr>
          <w:p w14:paraId="31009696" w14:textId="11518B16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96" w:type="dxa"/>
          </w:tcPr>
          <w:p w14:paraId="7E9DD4CD" w14:textId="27E4FA24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2839" w:type="dxa"/>
          </w:tcPr>
          <w:p w14:paraId="07F9B449" w14:textId="1F2CEF61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Nível profissional</w:t>
            </w:r>
          </w:p>
        </w:tc>
      </w:tr>
      <w:tr w:rsidR="005B4DB9" w:rsidRPr="009E46C4" w14:paraId="2A983F04" w14:textId="77777777" w:rsidTr="006F071F">
        <w:tc>
          <w:tcPr>
            <w:tcW w:w="959" w:type="dxa"/>
          </w:tcPr>
          <w:p w14:paraId="607CF5D2" w14:textId="5408754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F6629" w14:textId="04B8E98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EMILIANE COSTA DO NASCIMENTO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F09CF" w14:textId="6E4A99EA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5789DB3" w14:textId="77777777" w:rsidTr="006F071F">
        <w:tc>
          <w:tcPr>
            <w:tcW w:w="959" w:type="dxa"/>
          </w:tcPr>
          <w:p w14:paraId="2DB636C0" w14:textId="5CA3315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F235D" w14:textId="44E31171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NICIONE DOS SANTOS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88CA" w14:textId="3EFFA35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63F05EF" w14:textId="77777777" w:rsidTr="006F071F">
        <w:tc>
          <w:tcPr>
            <w:tcW w:w="959" w:type="dxa"/>
          </w:tcPr>
          <w:p w14:paraId="5F46C094" w14:textId="40BA376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E4D4" w14:textId="5621077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RAFAELA VIEIRA CERON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5648A" w14:textId="702AFC4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AEA82E5" w14:textId="77777777" w:rsidTr="006F071F">
        <w:tc>
          <w:tcPr>
            <w:tcW w:w="959" w:type="dxa"/>
          </w:tcPr>
          <w:p w14:paraId="0AD368C9" w14:textId="0D0519E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9B04" w14:textId="4C297F1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TAYNARA GRAL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EAE8" w14:textId="3C1D134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1C40A2B" w14:textId="77777777" w:rsidTr="00212602">
        <w:tc>
          <w:tcPr>
            <w:tcW w:w="959" w:type="dxa"/>
          </w:tcPr>
          <w:p w14:paraId="21115F2C" w14:textId="142F8D0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D222" w14:textId="657B4422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TALIANE REINKE KORNALEWSKI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3033" w14:textId="542A6FF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62A279D1" w14:textId="77777777" w:rsidTr="00212602">
        <w:tc>
          <w:tcPr>
            <w:tcW w:w="959" w:type="dxa"/>
          </w:tcPr>
          <w:p w14:paraId="28C6CDFE" w14:textId="0AC9961B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4FDA" w14:textId="44F1ADE9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BRUNA PEREIRA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96272" w14:textId="7B17171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77235C1" w14:textId="77777777" w:rsidTr="00212602">
        <w:tc>
          <w:tcPr>
            <w:tcW w:w="959" w:type="dxa"/>
          </w:tcPr>
          <w:p w14:paraId="0E282EEE" w14:textId="217237DE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D186F" w14:textId="06A98A28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MICHELE VICENTE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F281A" w14:textId="3FDEF4C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5EA041A" w14:textId="77777777" w:rsidTr="00212602">
        <w:tc>
          <w:tcPr>
            <w:tcW w:w="959" w:type="dxa"/>
          </w:tcPr>
          <w:p w14:paraId="1384EB75" w14:textId="6ED3C22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99FC6" w14:textId="3125D11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LETICIA KUNRATH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35894" w14:textId="67613B2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</w:tbl>
    <w:p w14:paraId="02A8F417" w14:textId="77777777" w:rsidR="0004223E" w:rsidRDefault="0004223E" w:rsidP="00CE16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47F021C6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>A eleição será realizada</w:t>
      </w:r>
      <w:r w:rsidR="00896E02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CE1697">
        <w:rPr>
          <w:rFonts w:ascii="Times New Roman" w:hAnsi="Times New Roman" w:cs="Times New Roman"/>
          <w:sz w:val="24"/>
          <w:szCs w:val="24"/>
        </w:rPr>
        <w:t>nos dias</w:t>
      </w:r>
      <w:r w:rsidR="00896E02">
        <w:rPr>
          <w:rFonts w:ascii="Times New Roman" w:hAnsi="Times New Roman" w:cs="Times New Roman"/>
          <w:sz w:val="24"/>
          <w:szCs w:val="24"/>
        </w:rPr>
        <w:t xml:space="preserve"> 20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e</w:t>
      </w:r>
      <w:r w:rsidR="00896E02">
        <w:rPr>
          <w:rFonts w:ascii="Times New Roman" w:hAnsi="Times New Roman" w:cs="Times New Roman"/>
          <w:sz w:val="24"/>
          <w:szCs w:val="24"/>
        </w:rPr>
        <w:t xml:space="preserve"> 21 </w:t>
      </w:r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r w:rsidR="00896E02">
        <w:rPr>
          <w:rFonts w:ascii="Times New Roman" w:hAnsi="Times New Roman" w:cs="Times New Roman"/>
          <w:sz w:val="24"/>
          <w:szCs w:val="24"/>
        </w:rPr>
        <w:t xml:space="preserve"> </w:t>
      </w:r>
      <w:r w:rsidR="003675F0">
        <w:rPr>
          <w:rFonts w:ascii="Times New Roman" w:hAnsi="Times New Roman" w:cs="Times New Roman"/>
          <w:sz w:val="24"/>
          <w:szCs w:val="24"/>
        </w:rPr>
        <w:t>janeiro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</w:t>
      </w:r>
      <w:r w:rsidR="00896E02">
        <w:rPr>
          <w:rFonts w:ascii="Times New Roman" w:hAnsi="Times New Roman" w:cs="Times New Roman"/>
          <w:sz w:val="24"/>
          <w:szCs w:val="24"/>
        </w:rPr>
        <w:t>023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3B3358">
        <w:rPr>
          <w:rFonts w:ascii="Times New Roman" w:hAnsi="Times New Roman" w:cs="Times New Roman"/>
          <w:sz w:val="24"/>
          <w:szCs w:val="24"/>
        </w:rPr>
        <w:t xml:space="preserve">Registro de Ponto </w:t>
      </w:r>
      <w:r w:rsidR="002560A7" w:rsidRPr="00CE1697">
        <w:rPr>
          <w:rFonts w:ascii="Times New Roman" w:hAnsi="Times New Roman" w:cs="Times New Roman"/>
          <w:sz w:val="24"/>
          <w:szCs w:val="24"/>
        </w:rPr>
        <w:t>do</w:t>
      </w:r>
      <w:r w:rsidR="003B3358">
        <w:rPr>
          <w:rFonts w:ascii="Times New Roman" w:hAnsi="Times New Roman" w:cs="Times New Roman"/>
          <w:sz w:val="24"/>
          <w:szCs w:val="24"/>
        </w:rPr>
        <w:t xml:space="preserve"> Hospital Florianópolis </w:t>
      </w:r>
      <w:r w:rsidR="00497657">
        <w:rPr>
          <w:rFonts w:ascii="Times New Roman" w:hAnsi="Times New Roman" w:cs="Times New Roman"/>
          <w:sz w:val="24"/>
          <w:szCs w:val="24"/>
        </w:rPr>
        <w:softHyphen/>
      </w:r>
      <w:r w:rsidR="00C454D4">
        <w:rPr>
          <w:rFonts w:ascii="Times New Roman" w:hAnsi="Times New Roman" w:cs="Times New Roman"/>
          <w:sz w:val="24"/>
          <w:szCs w:val="24"/>
        </w:rPr>
        <w:t>no horário de</w:t>
      </w:r>
      <w:r w:rsidR="00896E02">
        <w:rPr>
          <w:rFonts w:ascii="Times New Roman" w:hAnsi="Times New Roman" w:cs="Times New Roman"/>
          <w:sz w:val="24"/>
          <w:szCs w:val="24"/>
        </w:rPr>
        <w:t xml:space="preserve"> 7:00</w:t>
      </w:r>
      <w:r w:rsidR="00C454D4">
        <w:rPr>
          <w:rFonts w:ascii="Times New Roman" w:hAnsi="Times New Roman" w:cs="Times New Roman"/>
          <w:sz w:val="24"/>
          <w:szCs w:val="24"/>
        </w:rPr>
        <w:t>h às</w:t>
      </w:r>
      <w:r w:rsidR="00896E02">
        <w:rPr>
          <w:rFonts w:ascii="Times New Roman" w:hAnsi="Times New Roman" w:cs="Times New Roman"/>
          <w:sz w:val="24"/>
          <w:szCs w:val="24"/>
        </w:rPr>
        <w:t xml:space="preserve"> 11:30</w:t>
      </w:r>
      <w:r w:rsidR="00C454D4">
        <w:rPr>
          <w:rFonts w:ascii="Times New Roman" w:hAnsi="Times New Roman" w:cs="Times New Roman"/>
          <w:sz w:val="24"/>
          <w:szCs w:val="24"/>
        </w:rPr>
        <w:t>h.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54E05A3A" w14:textId="77777777" w:rsidR="009E46C4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1386FAE8" w14:textId="03DEE7CD" w:rsidR="00E342FD" w:rsidRDefault="009E46C4" w:rsidP="00042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Florianópolis, 09 de janeiro de 2023</w:t>
      </w:r>
    </w:p>
    <w:p w14:paraId="2B1731F7" w14:textId="77777777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233618" w14:textId="33E49F42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6BC56DEB" w14:textId="05E70122" w:rsidR="009E46C4" w:rsidRPr="00106212" w:rsidRDefault="009E46C4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Enf. Eduardo </w:t>
      </w:r>
      <w:r w:rsidR="008C4DDD">
        <w:rPr>
          <w:rFonts w:ascii="Times New Roman" w:hAnsi="Times New Roman" w:cs="Times New Roman"/>
          <w:sz w:val="24"/>
          <w:szCs w:val="24"/>
        </w:rPr>
        <w:t>Calegari Frassetto- Coren: 487.469</w:t>
      </w:r>
    </w:p>
    <w:sectPr w:rsidR="009E46C4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04223E"/>
    <w:rsid w:val="00106212"/>
    <w:rsid w:val="00187CB5"/>
    <w:rsid w:val="002560A7"/>
    <w:rsid w:val="002706EC"/>
    <w:rsid w:val="002C2956"/>
    <w:rsid w:val="003675F0"/>
    <w:rsid w:val="003B3358"/>
    <w:rsid w:val="00467ADC"/>
    <w:rsid w:val="00497657"/>
    <w:rsid w:val="005B213A"/>
    <w:rsid w:val="005B4DB9"/>
    <w:rsid w:val="00616BFE"/>
    <w:rsid w:val="00616D96"/>
    <w:rsid w:val="006E3E4D"/>
    <w:rsid w:val="007534A7"/>
    <w:rsid w:val="007D4C26"/>
    <w:rsid w:val="00896E02"/>
    <w:rsid w:val="008C4DDD"/>
    <w:rsid w:val="0091325A"/>
    <w:rsid w:val="009223DE"/>
    <w:rsid w:val="00922BD1"/>
    <w:rsid w:val="009B41EB"/>
    <w:rsid w:val="009B79C0"/>
    <w:rsid w:val="009E46C4"/>
    <w:rsid w:val="009F69FA"/>
    <w:rsid w:val="00A22F8F"/>
    <w:rsid w:val="00C454D4"/>
    <w:rsid w:val="00CA6B6D"/>
    <w:rsid w:val="00CD31A6"/>
    <w:rsid w:val="00CE1697"/>
    <w:rsid w:val="00D05155"/>
    <w:rsid w:val="00D66E4A"/>
    <w:rsid w:val="00DA2EFE"/>
    <w:rsid w:val="00E11161"/>
    <w:rsid w:val="00E342FD"/>
    <w:rsid w:val="00E362C2"/>
    <w:rsid w:val="00F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DAVID MOLINA CARNEIRO</cp:lastModifiedBy>
  <cp:revision>13</cp:revision>
  <dcterms:created xsi:type="dcterms:W3CDTF">2022-12-19T10:48:00Z</dcterms:created>
  <dcterms:modified xsi:type="dcterms:W3CDTF">2023-01-09T11:57:00Z</dcterms:modified>
</cp:coreProperties>
</file>