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33"/>
        <w:jc w:val="center"/>
      </w:pPr>
      <w:r>
        <w:t xml:space="preserve">Suivi</w:t>
      </w:r>
      <w:r>
        <w:t xml:space="preserve"> </w:t>
      </w:r>
      <w:r>
        <w:t xml:space="preserve">de</w:t>
      </w:r>
      <w:r>
        <w:t xml:space="preserve"> </w:t>
      </w:r>
      <w:r>
        <w:t xml:space="preserve">l’analyse</w:t>
      </w:r>
      <w:r/>
    </w:p>
    <w:p>
      <w:pPr>
        <w:pStyle w:val="635"/>
        <w:jc w:val="center"/>
      </w:pPr>
      <w:r>
        <w:t xml:space="preserve">Corentin</w:t>
      </w:r>
      <w:r>
        <w:t xml:space="preserve"> </w:t>
      </w:r>
      <w:r>
        <w:t xml:space="preserve">Choisy</w:t>
      </w:r>
      <w:r/>
    </w:p>
    <w:p>
      <w:pPr>
        <w:pStyle w:val="636"/>
        <w:jc w:val="center"/>
      </w:pPr>
      <w:r>
        <w:t xml:space="preserve">2023-04-03</w:t>
      </w:r>
      <w:r/>
    </w:p>
    <w:p>
      <w:pPr>
        <w:pStyle w:val="639"/>
        <w:jc w:val="both"/>
      </w:pPr>
      <w:r/>
      <w:bookmarkStart w:id="36" w:name="analyse-descriptive"/>
      <w:r>
        <w:t xml:space="preserve">Analyse Descriptive</w:t>
      </w:r>
      <w:r/>
    </w:p>
    <w:p>
      <w:pPr>
        <w:pStyle w:val="640"/>
        <w:jc w:val="both"/>
      </w:pPr>
      <w:r/>
      <w:bookmarkStart w:id="20" w:name="données-manquantes"/>
      <w:r>
        <w:t xml:space="preserve">Données manquantes</w:t>
      </w:r>
      <w:r/>
    </w:p>
    <w:p>
      <w:pPr>
        <w:pStyle w:val="631"/>
        <w:jc w:val="both"/>
      </w:pPr>
      <w:r>
        <w:rPr>
          <w:b/>
          <w:bCs/>
        </w:rPr>
        <w:t xml:space="preserve">Variables autour de 20% manquantes:</w:t>
      </w:r>
      <w:r>
        <w:t xml:space="preserve"> </w:t>
      </w:r>
      <w:r>
        <w:t xml:space="preserve">Les variables</w:t>
      </w:r>
      <w:r>
        <w:t xml:space="preserve"> </w:t>
      </w:r>
      <w:r>
        <w:rPr>
          <w:i/>
          <w:iCs/>
        </w:rPr>
        <w:t xml:space="preserve">Durée d’hospitalisation</w:t>
      </w:r>
      <w:r>
        <w:t xml:space="preserve">,</w:t>
      </w:r>
      <w:r>
        <w:t xml:space="preserve"> </w:t>
      </w:r>
      <w:r>
        <w:rPr>
          <w:i/>
          <w:iCs/>
        </w:rPr>
        <w:t xml:space="preserve">Mise sur marchine de perfusion</w:t>
      </w:r>
      <w:r>
        <w:t xml:space="preserve">,</w:t>
      </w:r>
      <w:r>
        <w:t xml:space="preserve"> </w:t>
      </w:r>
      <w:r>
        <w:rPr>
          <w:i/>
          <w:iCs/>
        </w:rPr>
        <w:t xml:space="preserve">Hématurie du donneur</w:t>
      </w:r>
      <w:r>
        <w:t xml:space="preserve"> </w:t>
      </w:r>
      <w:r>
        <w:t xml:space="preserve">et</w:t>
      </w:r>
      <w:r>
        <w:t xml:space="preserve"> </w:t>
      </w:r>
      <w:r>
        <w:rPr>
          <w:i/>
          <w:iCs/>
        </w:rPr>
        <w:t xml:space="preserve">les immunisations HLA et DSA</w:t>
      </w:r>
      <w:r>
        <w:t xml:space="preserve"> </w:t>
      </w:r>
      <w:r>
        <w:t xml:space="preserve">présentent des proportions de données manquantes entre 15 et 30% dans chaque groupe, ne contre-indiquant a priori pas leur utilisation dans les modèles, à l’exception d’un potentiel risque de biais.</w:t>
      </w:r>
      <w:r/>
    </w:p>
    <w:p>
      <w:pPr>
        <w:pStyle w:val="630"/>
        <w:jc w:val="both"/>
      </w:pPr>
      <w:r>
        <w:rPr>
          <w:b/>
          <w:bCs/>
        </w:rPr>
        <w:t xml:space="preserve">Variables mal renseignées:</w:t>
      </w:r>
      <w:r>
        <w:t xml:space="preserve"> </w:t>
      </w:r>
      <w:r>
        <w:t xml:space="preserve">Les variables</w:t>
      </w:r>
      <w:r>
        <w:t xml:space="preserve"> </w:t>
      </w:r>
      <w:r>
        <w:rPr>
          <w:i/>
          <w:iCs/>
        </w:rPr>
        <w:t xml:space="preserve">Antécédent de dyslipidémie du donneur</w:t>
      </w:r>
      <w:r>
        <w:t xml:space="preserve"> </w:t>
      </w:r>
      <w:r>
        <w:t xml:space="preserve">(40% de données manquantes),</w:t>
      </w:r>
      <w:r>
        <w:t xml:space="preserve"> </w:t>
      </w:r>
      <w:r>
        <w:rPr>
          <w:i/>
          <w:iCs/>
        </w:rPr>
        <w:t xml:space="preserve">Sérologie AcHBs du donneur</w:t>
      </w:r>
      <w:r>
        <w:t xml:space="preserve"> </w:t>
      </w:r>
      <w:r>
        <w:t xml:space="preserve">(33%) et</w:t>
      </w:r>
      <w:r>
        <w:t xml:space="preserve"> </w:t>
      </w:r>
      <w:r>
        <w:rPr>
          <w:i/>
          <w:iCs/>
        </w:rPr>
        <w:t xml:space="preserve">antécédents de grossesse</w:t>
      </w:r>
      <w:r>
        <w:t xml:space="preserve"> </w:t>
      </w:r>
      <w:r>
        <w:t xml:space="preserve">(36% chez les femmes) sont mal renseignées avec plus d’un tiers de données manquantes. Ces variables devraient être exclues des analyses.</w:t>
      </w:r>
      <w:r/>
    </w:p>
    <w:p>
      <w:pPr>
        <w:pStyle w:val="630"/>
        <w:jc w:val="both"/>
      </w:pPr>
      <w:r>
        <w:rPr>
          <w:b/>
          <w:bCs/>
        </w:rPr>
        <w:t xml:space="preserve">Autres données manquantes:</w:t>
      </w:r>
      <w:r>
        <w:t xml:space="preserve"> </w:t>
      </w:r>
      <w:r>
        <w:t xml:space="preserve">La plupart des autres variables présentent des proportions de donn</w:t>
      </w:r>
      <w:r>
        <w:t xml:space="preserve">ées manquantes plus restreintes On pourra proposer, en analyse de sensibilité, d’évaluer l’effet de ces problèmes de reseignement sur le modèle. Aucune donnée manquante n’a été relevée sur les variables descriptives du suivi (évènement, temps d’évènement).</w:t>
      </w:r>
      <w:bookmarkEnd w:id="20"/>
      <w:r/>
    </w:p>
    <w:p>
      <w:pPr>
        <w:pStyle w:val="640"/>
        <w:jc w:val="both"/>
      </w:pPr>
      <w:r/>
      <w:bookmarkStart w:id="21" w:name="partition-apprentissage-validation"/>
      <w:r>
        <w:t xml:space="preserve">Partition apprentissage/ validation</w:t>
      </w:r>
      <w:r/>
    </w:p>
    <w:p>
      <w:pPr>
        <w:pStyle w:val="631"/>
        <w:jc w:val="both"/>
      </w:pPr>
      <w:r>
        <w:t xml:space="preserve">La partition aléatoire entre l’échantillon d’apprentissage et l’</w:t>
      </w:r>
      <w:r>
        <w:t xml:space="preserve">échantillon de validation semble avoir produit deux échantillons comparables en termes de distribution pour l’ensemble des variables de la base. De petits écarts de distribution semblent toutefois apparaître sur les indicatrices des immunisations anti-HLA.</w:t>
      </w:r>
      <w:bookmarkEnd w:id="21"/>
      <w:r/>
    </w:p>
    <w:p>
      <w:pPr>
        <w:pStyle w:val="640"/>
        <w:jc w:val="both"/>
      </w:pPr>
      <w:r/>
      <w:bookmarkStart w:id="22" w:name="variables-quasi-séparées"/>
      <w:r>
        <w:t xml:space="preserve">Variables quasi-séparées</w:t>
      </w:r>
      <w:r/>
    </w:p>
    <w:p>
      <w:pPr>
        <w:pStyle w:val="631"/>
        <w:jc w:val="both"/>
      </w:pPr>
      <w:r>
        <w:t xml:space="preserve">Plusieurs variables catégorielles sont presque exclusivement unimodales, et ne pourraient donc être exclues des analyses faute d’apport d’information (et pouvant potentiellement entraver le calcul des modèles):</w:t>
      </w:r>
      <w:r/>
    </w:p>
    <w:p>
      <w:pPr>
        <w:pStyle w:val="632"/>
        <w:numPr>
          <w:ilvl w:val="0"/>
          <w:numId w:val="2"/>
        </w:numPr>
        <w:jc w:val="both"/>
      </w:pPr>
      <w:r>
        <w:t xml:space="preserve">Sérologies HCV, AgHBs, HIV donneur/receveur</w:t>
      </w:r>
      <w:r/>
    </w:p>
    <w:p>
      <w:pPr>
        <w:pStyle w:val="632"/>
        <w:numPr>
          <w:ilvl w:val="0"/>
          <w:numId w:val="2"/>
        </w:numPr>
        <w:jc w:val="both"/>
      </w:pPr>
      <w:r>
        <w:t xml:space="preserve">Traitements par inhibiteurs de mTOR et apparentés CNI</w:t>
      </w:r>
      <w:r/>
    </w:p>
    <w:p>
      <w:pPr>
        <w:pStyle w:val="632"/>
        <w:numPr>
          <w:ilvl w:val="0"/>
          <w:numId w:val="2"/>
        </w:numPr>
        <w:jc w:val="both"/>
      </w:pPr>
      <w:r>
        <w:t xml:space="preserve">Immunisation DSA</w:t>
      </w:r>
      <w:r/>
    </w:p>
    <w:p>
      <w:pPr>
        <w:pStyle w:val="632"/>
        <w:numPr>
          <w:ilvl w:val="0"/>
          <w:numId w:val="2"/>
        </w:numPr>
        <w:jc w:val="both"/>
      </w:pPr>
      <w:r>
        <w:t xml:space="preserve">Incompatibilité ABO (unimodale)</w:t>
      </w:r>
      <w:bookmarkEnd w:id="22"/>
      <w:r/>
    </w:p>
    <w:p>
      <w:pPr>
        <w:pStyle w:val="640"/>
        <w:jc w:val="both"/>
      </w:pPr>
      <w:r/>
      <w:bookmarkStart w:id="23" w:name="descriptif-des-données"/>
      <w:r>
        <w:t xml:space="preserve">Descriptif des données</w:t>
      </w:r>
      <w:r/>
    </w:p>
    <w:p>
      <w:pPr>
        <w:pStyle w:val="631"/>
        <w:jc w:val="both"/>
      </w:pPr>
      <w:r>
        <w:t xml:space="preserve">Au sein de l’échantillon d’apprentissage (N=4844), la population des receveurs répond aux caractéristiques démographiques de l’insuffisance rénale chronique, avec une nette majorité masc</w:t>
      </w:r>
      <w:r>
        <w:t xml:space="preserve">uline (64%) et deux tiers de la population âgée d’entre 39 et 67 ans, pour un âge moyen de 53.2 ans. 25.2% des receveurs présentent une étiologie récidivante d’IRC. Au global, une majorité des patients ont reçu un traitement par hemodialyse (78.5%) ou par </w:t>
      </w:r>
      <w:r>
        <w:t xml:space="preserve">dialyse péritonéale (10.6%). Seuls 10.7% bénéficient d’une greffe préemptive et ne sont pas passés par la dialyse, correspondant à la tendance nationale rapportée par le réseau REIN en 2019 (10.9%). 80.4% des receveurs présentent des antécédents d’hyperten</w:t>
      </w:r>
      <w:r>
        <w:t xml:space="preserve">sion, 39.4% des antécédents de maladies cardiovasculaires, un tiers (33.7%) des antécédents de dyslipidémie et 18.9% des antécédents de diabète. Les antécédents de néoplasie et de maladies urologiques présentent des prévalences plus faibles, autour de 10%.</w:t>
      </w:r>
      <w:r/>
    </w:p>
    <w:p>
      <w:pPr>
        <w:pStyle w:val="630"/>
        <w:jc w:val="both"/>
      </w:pPr>
      <w:r>
        <w:t xml:space="preserve">Les temps passés sur liste d’attente et en dialyse sont très hétérogènes, témoignant de disparités géographiques et démographiques importantes en termes d’accès à la greffe. Cependant, ces durées restent globalement longues, </w:t>
      </w:r>
      <w:r>
        <w:t xml:space="preserve">avec une durée d’attente moyenne de 703 jours (près de 2 ans) et 1157 jours en dialyse (3 ans et 2 mois). De plus, 75% des receveurs ont attendu plus de 221 jours (plus de 7 mois) et 75% d’entre deux ont passé plus de 495 jours (1 an et 4 mois) en dialyse.</w:t>
      </w:r>
      <w:r/>
    </w:p>
    <w:p>
      <w:pPr>
        <w:pStyle w:val="630"/>
        <w:jc w:val="both"/>
      </w:pPr>
      <w:r>
        <w:t xml:space="preserve">Les donneurs répondent à de caractéristiques similaires en termes d’âge (âge moyen de 53.1 ans) mais sont plus </w:t>
      </w:r>
      <w:r>
        <w:t xml:space="preserve">hétérogènes (éc</w:t>
      </w:r>
      <w:r>
        <w:t xml:space="preserve">de 200 mmol/L alors que la quasi-totalité des valeurs sont inférieures à 50 mmol/L.</w:t>
      </w:r>
      <w:bookmarkEnd w:id="23"/>
      <w:r/>
      <w:r>
        <w:t xml:space="preserve">art-type de 17.2 ans contre 14.4 ans, du fait de la présence de donneurs mineurs, pédiatriques et de donneurs âgés) et également majoritairement masculins (59.7%). 8.3% des donneurs ont été prélevés à coeur arrêté et 49.1% ont subi un décès </w:t>
      </w:r>
      <w:r>
        <w:t xml:space="preserve">de cause cardiovasculaire. Les antécédents médicaux des donneurs correspondaient davantage aux propriétés de la population générale française, avec une prévalence des antécédents d’hypertension de 28.7% et une prévalence du diabète de 6.8%. La prévalence d</w:t>
      </w:r>
      <w:r>
        <w:t xml:space="preserve">e la protéinurie sont nettement plus élevées que les estimations populationnelles (38.3%), ce qui était attendu pour des donneurs cadavériques. Au regard de leurs caractéristiques, 42.1% des donneurs sont considérés marginaux par le critère historique ECD.</w:t>
      </w:r>
      <w:r/>
    </w:p>
    <w:p>
      <w:pPr>
        <w:pStyle w:val="630"/>
        <w:jc w:val="both"/>
      </w:pPr>
      <w:r>
        <w:t xml:space="preserve">D’un point de vue immunologique, 50% des</w:t>
      </w:r>
      <w:r>
        <w:t xml:space="preserve"> couples donneur-receveur présentent entre 3 et 4 incompatibilités HLA ABDR et aucun ne présente d’incompatibilité de groupe sanguin. Concernant les immunisations des receveurs, 18.5% (classe I) et 15.4% (classe II) sont positifs à l’immunisation anti-HLA.</w:t>
      </w:r>
      <w:r/>
    </w:p>
    <w:p>
      <w:pPr>
        <w:pStyle w:val="630"/>
        <w:jc w:val="both"/>
      </w:pPr>
      <w:r>
        <w:t xml:space="preserve">Les sérologies des donneurs et receveurs sont pour la plupart soit très majoritairement positives (EBV) ou très majoritairement négatives (HCV, AgHBs, HIV) et ont été exclues des analyses en conséquence.</w:t>
      </w:r>
      <w:r/>
    </w:p>
    <w:p>
      <w:pPr>
        <w:pStyle w:val="630"/>
        <w:jc w:val="both"/>
      </w:pPr>
      <w:r>
        <w:t xml:space="preserve">Les variables relatives à la greffe correspondent aux attentes au vu des pratiques courantes en transplantation dans le pays. Ainsi, le temps d’ischémie froide était inférieur à 1 jour pour plus</w:t>
      </w:r>
      <w:r>
        <w:t xml:space="preserve"> de 75% des partients (Q3=21) et une très forte majorité des patients ont reçu des traitements par antiprolifératifs et corticoïdes, ainsi qu’au tacrolimus à partir de 2009 (87.2%). Près d’un greffon sur trois (29.1%) a été placé sous machine de perfusion.</w:t>
      </w:r>
      <w:r/>
    </w:p>
    <w:p>
      <w:pPr>
        <w:pStyle w:val="630"/>
        <w:jc w:val="both"/>
      </w:pPr>
      <w:r>
        <w:t xml:space="preserve">On note par ailleurs la présence d’un écart-type important par rapport à la moyenne sur la variable</w:t>
      </w:r>
      <w:r>
        <w:t xml:space="preserve"> </w:t>
      </w:r>
      <w:r>
        <w:rPr>
          <w:i/>
          <w:iCs/>
        </w:rPr>
        <w:t xml:space="preserve">urée du donneur</w:t>
      </w:r>
      <w:r>
        <w:t xml:space="preserve">. Cette valeur s’explique par la présence d’outliers, 6 donneurs présentant des valeurs d’urée au-dessus </w:t>
      </w:r>
      <w:r/>
    </w:p>
    <w:p>
      <w:pPr>
        <w:pStyle w:val="640"/>
        <w:jc w:val="both"/>
      </w:pPr>
      <w:r/>
      <w:bookmarkStart w:id="35" w:name="descriptif-de-la-survie"/>
      <w:r>
        <w:t xml:space="preserve">Descriptif de la survie</w:t>
      </w:r>
      <w:r/>
    </w:p>
    <w:p>
      <w:pPr>
        <w:pStyle w:val="641"/>
        <w:jc w:val="both"/>
      </w:pPr>
      <w:r/>
      <w:bookmarkStart w:id="27" w:name="kaplan-meier-global"/>
      <w:r>
        <w:t xml:space="preserve">Kaplan-Meier global</w:t>
      </w:r>
      <w:r/>
    </w:p>
    <w:p>
      <w:pPr>
        <w:pStyle w:val="631"/>
        <w:jc w:val="both"/>
      </w:pPr>
      <w:r>
        <mc:AlternateContent>
          <mc:Choice Requires="wpg">
            <w:drawing>
              <wp:inline xmlns:wp="http://schemas.openxmlformats.org/drawingml/2006/wordprocessingDrawing" distT="0" distB="0" distL="0" distR="0">
                <wp:extent cx="5334000" cy="2133600"/>
                <wp:effectExtent l="0" t="0" r="0" b="0"/>
                <wp:docPr id="1"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stage_analyse_doc_files/figure-docx/km-1.png"/>
                        <pic:cNvPicPr>
                          <a:picLocks noChangeAspect="1" noChangeArrowheads="1"/>
                        </pic:cNvPicPr>
                        <pic:nvPr/>
                      </pic:nvPicPr>
                      <pic:blipFill>
                        <a:blip r:embed="rId9"/>
                        <a:stretch/>
                      </pic:blipFill>
                      <pic:spPr bwMode="auto">
                        <a:xfrm>
                          <a:off x="0" y="0"/>
                          <a:ext cx="5334000" cy="2133600"/>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20.0pt;height:168.0pt;mso-wrap-distance-left:0.0pt;mso-wrap-distance-top:0.0pt;mso-wrap-distance-right:0.0pt;mso-wrap-distance-bottom:0.0pt;" stroked="f" strokeweight="0.75pt">
                <v:path textboxrect="0,0,0,0"/>
                <v:imagedata r:id="rId9" o:title=""/>
              </v:shape>
            </w:pict>
          </mc:Fallback>
        </mc:AlternateContent>
      </w:r>
      <w:bookmarkEnd w:id="27"/>
      <w:r/>
    </w:p>
    <w:p>
      <w:pPr>
        <w:pStyle w:val="641"/>
        <w:jc w:val="both"/>
      </w:pPr>
      <w:r/>
      <w:bookmarkStart w:id="31" w:name="kaplan-meier-par-centre"/>
      <w:r>
        <w:t xml:space="preserve">Kaplan-Meier par centre</w:t>
      </w:r>
      <w:r/>
    </w:p>
    <w:p>
      <w:pPr>
        <w:pStyle w:val="631"/>
        <w:jc w:val="both"/>
      </w:pPr>
      <w:r>
        <mc:AlternateContent>
          <mc:Choice Requires="wpg">
            <w:drawing>
              <wp:inline xmlns:wp="http://schemas.openxmlformats.org/drawingml/2006/wordprocessingDrawing" distT="0" distB="0" distL="0" distR="0">
                <wp:extent cx="4620126" cy="3696101"/>
                <wp:effectExtent l="0" t="0" r="0" b="0"/>
                <wp:docPr id="2"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stage_analyse_doc_files/figure-docx/kmcentre-1.png"/>
                        <pic:cNvPicPr>
                          <a:picLocks noChangeAspect="1" noChangeArrowheads="1"/>
                        </pic:cNvPicPr>
                        <pic:nvPr/>
                      </pic:nvPicPr>
                      <pic:blipFill>
                        <a:blip r:embed="rId10"/>
                        <a:stretch/>
                      </pic:blipFill>
                      <pic:spPr bwMode="auto">
                        <a:xfrm>
                          <a:off x="0" y="0"/>
                          <a:ext cx="4620126" cy="3696101"/>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63.8pt;height:291.0pt;mso-wrap-distance-left:0.0pt;mso-wrap-distance-top:0.0pt;mso-wrap-distance-right:0.0pt;mso-wrap-distance-bottom:0.0pt;" stroked="f" strokeweight="0.75pt">
                <v:path textboxrect="0,0,0,0"/>
                <v:imagedata r:id="rId10" o:title=""/>
              </v:shape>
            </w:pict>
          </mc:Fallback>
        </mc:AlternateContent>
      </w:r>
      <w:bookmarkEnd w:id="31"/>
      <w:r/>
    </w:p>
    <w:p>
      <w:pPr>
        <w:pStyle w:val="641"/>
        <w:jc w:val="both"/>
      </w:pPr>
      <w:r/>
      <w:bookmarkStart w:id="34" w:name="indicateurs-descriptifs-de-la-survie"/>
      <w:r>
        <w:t xml:space="preserve">Indicateurs descriptifs de la survie</w:t>
      </w:r>
      <w:r/>
    </w:p>
    <w:p>
      <w:pPr>
        <w:pStyle w:val="642"/>
        <w:jc w:val="both"/>
      </w:pPr>
      <w:r/>
      <w:bookmarkStart w:id="32" w:name="echantillon-dapprentissage"/>
      <w:r>
        <w:t xml:space="preserve">Echantillon d’apprentissage</w:t>
      </w:r>
      <w:r/>
    </w:p>
    <w:p>
      <w:pPr>
        <w:pStyle w:val="631"/>
        <w:jc w:val="both"/>
      </w:pPr>
      <w:r>
        <w:rPr>
          <w:b/>
          <w:bCs/>
        </w:rPr>
        <w:t xml:space="preserve">Nombres d’évènements:</w:t>
      </w:r>
      <w:r>
        <w:t xml:space="preserve"> </w:t>
      </w:r>
      <w:r>
        <w:t xml:space="preserve">977 retours en dialyse, 1010 décès dont 757 avec greffon fonctionnel, 3110 censures</w:t>
      </w:r>
      <w:r/>
    </w:p>
    <w:p>
      <w:pPr>
        <w:pStyle w:val="630"/>
        <w:jc w:val="both"/>
      </w:pPr>
      <w:r>
        <w:rPr>
          <w:b/>
          <w:bCs/>
        </w:rPr>
        <w:t xml:space="preserve">Personnes-années:</w:t>
      </w:r>
      <w:r>
        <w:t xml:space="preserve"> </w:t>
      </w:r>
      <w:r>
        <w:t xml:space="preserve">28797 personnes-années</w:t>
      </w:r>
      <w:r/>
    </w:p>
    <w:p>
      <w:pPr>
        <w:pStyle w:val="630"/>
        <w:jc w:val="both"/>
      </w:pPr>
      <w:r>
        <w:rPr>
          <w:b/>
          <w:bCs/>
        </w:rPr>
        <w:t xml:space="preserve">Incidence en personne-année:</w:t>
      </w:r>
      <w:r>
        <w:t xml:space="preserve"> </w:t>
      </w:r>
      <w:r>
        <w:t xml:space="preserve">0.03 retours en dialyse par personne-année, 0.04 décès par personne-année</w:t>
      </w:r>
      <w:r/>
    </w:p>
    <w:p>
      <w:pPr>
        <w:pStyle w:val="630"/>
        <w:jc w:val="both"/>
      </w:pPr>
      <w:r>
        <w:rPr>
          <w:b/>
          <w:bCs/>
        </w:rPr>
        <w:t xml:space="preserve">Follow-up médian:</w:t>
      </w:r>
      <w:r>
        <w:t xml:space="preserve"> </w:t>
      </w:r>
      <w:r>
        <w:t xml:space="preserve">11.7 ans</w:t>
      </w:r>
      <w:r/>
    </w:p>
    <w:p>
      <w:pPr>
        <w:pStyle w:val="630"/>
        <w:jc w:val="both"/>
      </w:pPr>
      <w:r>
        <w:rPr>
          <w:b/>
          <w:bCs/>
        </w:rPr>
        <w:t xml:space="preserve">Probas de survie:</w:t>
      </w:r>
      <w:r/>
    </w:p>
    <w:p>
      <w:pPr>
        <w:pStyle w:val="632"/>
        <w:numPr>
          <w:ilvl w:val="0"/>
          <w:numId w:val="3"/>
        </w:numPr>
        <w:jc w:val="both"/>
      </w:pPr>
      <w:r>
        <w:t xml:space="preserve">5 ans: 78% [77%-79%]</w:t>
      </w:r>
      <w:r/>
    </w:p>
    <w:p>
      <w:pPr>
        <w:pStyle w:val="632"/>
        <w:numPr>
          <w:ilvl w:val="0"/>
          <w:numId w:val="3"/>
        </w:numPr>
        <w:jc w:val="both"/>
      </w:pPr>
      <w:r>
        <w:t xml:space="preserve">10 ans: 56% [54%-58%]</w:t>
      </w:r>
      <w:r/>
    </w:p>
    <w:p>
      <w:pPr>
        <w:pStyle w:val="632"/>
        <w:numPr>
          <w:ilvl w:val="0"/>
          <w:numId w:val="3"/>
        </w:numPr>
        <w:jc w:val="both"/>
      </w:pPr>
      <w:r>
        <w:t xml:space="preserve">15 ans: 39% [37%-42%]</w:t>
      </w:r>
      <w:r/>
    </w:p>
    <w:p>
      <w:pPr>
        <w:pStyle w:val="632"/>
        <w:numPr>
          <w:ilvl w:val="0"/>
          <w:numId w:val="3"/>
        </w:numPr>
        <w:jc w:val="both"/>
      </w:pPr>
      <w:r>
        <w:t xml:space="preserve">20 ans: 26% [23%-29%]</w:t>
      </w:r>
      <w:bookmarkEnd w:id="32"/>
      <w:r/>
    </w:p>
    <w:p>
      <w:pPr>
        <w:pStyle w:val="642"/>
        <w:jc w:val="both"/>
      </w:pPr>
      <w:r/>
      <w:bookmarkStart w:id="33" w:name="echantillon-de-validation"/>
      <w:r>
        <w:t xml:space="preserve">Echantillon de validation</w:t>
      </w:r>
      <w:r/>
    </w:p>
    <w:p>
      <w:pPr>
        <w:pStyle w:val="631"/>
        <w:jc w:val="both"/>
      </w:pPr>
      <w:r>
        <w:rPr>
          <w:b/>
          <w:bCs/>
        </w:rPr>
        <w:t xml:space="preserve">Nombres d’évènements:</w:t>
      </w:r>
      <w:r>
        <w:t xml:space="preserve"> </w:t>
      </w:r>
      <w:r>
        <w:t xml:space="preserve">510 retours en dialyse, 507 décès dont 375 avec greffon fonctionnel, 1893 censures</w:t>
      </w:r>
      <w:r/>
    </w:p>
    <w:p>
      <w:pPr>
        <w:pStyle w:val="630"/>
        <w:jc w:val="both"/>
      </w:pPr>
      <w:r>
        <w:rPr>
          <w:b/>
          <w:bCs/>
        </w:rPr>
        <w:t xml:space="preserve">Personnes-années:</w:t>
      </w:r>
      <w:r>
        <w:t xml:space="preserve"> </w:t>
      </w:r>
      <w:r>
        <w:t xml:space="preserve">15079 personnes-années</w:t>
      </w:r>
      <w:r/>
    </w:p>
    <w:p>
      <w:pPr>
        <w:pStyle w:val="630"/>
        <w:jc w:val="both"/>
      </w:pPr>
      <w:r>
        <w:rPr>
          <w:b/>
          <w:bCs/>
        </w:rPr>
        <w:t xml:space="preserve">Incidence en personne-année:</w:t>
      </w:r>
      <w:r>
        <w:t xml:space="preserve"> </w:t>
      </w:r>
      <w:r>
        <w:t xml:space="preserve">0.03 retours en dialyse par personne-année, 0.03 décès par personne-année</w:t>
      </w:r>
      <w:r/>
    </w:p>
    <w:p>
      <w:pPr>
        <w:pStyle w:val="630"/>
        <w:jc w:val="both"/>
      </w:pPr>
      <w:r>
        <w:rPr>
          <w:b/>
          <w:bCs/>
        </w:rPr>
        <w:t xml:space="preserve">Follow-up médian:</w:t>
      </w:r>
      <w:r>
        <w:t xml:space="preserve"> </w:t>
      </w:r>
      <w:r>
        <w:t xml:space="preserve">12 ans</w:t>
      </w:r>
      <w:r/>
    </w:p>
    <w:p>
      <w:pPr>
        <w:pStyle w:val="630"/>
        <w:jc w:val="both"/>
      </w:pPr>
      <w:r>
        <w:rPr>
          <w:b/>
          <w:bCs/>
        </w:rPr>
        <w:t xml:space="preserve">Probas de survie:</w:t>
      </w:r>
      <w:r/>
    </w:p>
    <w:p>
      <w:pPr>
        <w:pStyle w:val="632"/>
        <w:numPr>
          <w:ilvl w:val="0"/>
          <w:numId w:val="4"/>
        </w:numPr>
        <w:jc w:val="both"/>
      </w:pPr>
      <w:r>
        <w:t xml:space="preserve">5 ans: 79% [77%-80%]</w:t>
      </w:r>
      <w:r/>
    </w:p>
    <w:p>
      <w:pPr>
        <w:pStyle w:val="632"/>
        <w:numPr>
          <w:ilvl w:val="0"/>
          <w:numId w:val="4"/>
        </w:numPr>
        <w:jc w:val="both"/>
      </w:pPr>
      <w:r>
        <w:t xml:space="preserve">10 ans: 58% [56%-61%]</w:t>
      </w:r>
      <w:r/>
    </w:p>
    <w:p>
      <w:pPr>
        <w:pStyle w:val="632"/>
        <w:numPr>
          <w:ilvl w:val="0"/>
          <w:numId w:val="4"/>
        </w:numPr>
        <w:jc w:val="both"/>
      </w:pPr>
      <w:r>
        <w:t xml:space="preserve">15 ans: 40% [37%-43%]</w:t>
      </w:r>
      <w:r/>
    </w:p>
    <w:p>
      <w:pPr>
        <w:pStyle w:val="632"/>
        <w:numPr>
          <w:ilvl w:val="0"/>
          <w:numId w:val="4"/>
        </w:numPr>
        <w:jc w:val="both"/>
      </w:pPr>
      <w:r>
        <w:t xml:space="preserve">20 ans: 25% [21%-29%]</w:t>
      </w:r>
      <w:bookmarkEnd w:id="33"/>
      <w:bookmarkEnd w:id="34"/>
      <w:bookmarkEnd w:id="35"/>
      <w:bookmarkEnd w:id="36"/>
      <w:r/>
    </w:p>
    <w:sectPr>
      <w:footnotePr/>
      <w:endnotePr/>
      <w:type w:val="nextPage"/>
      <w:pgSz w:w="11906" w:h="16838" w:orient="portrait"/>
      <w:pgMar w:top="1134" w:right="850" w:bottom="1134" w:left="1701" w:header="709" w:footer="709"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60305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
      <w:lvlJc w:val="left"/>
      <w:pPr>
        <w:ind w:left="720" w:hanging="480"/>
      </w:pPr>
    </w:lvl>
    <w:lvl w:ilvl="1">
      <w:start w:val="1"/>
      <w:numFmt w:val="bullet"/>
      <w:isLgl w:val="false"/>
      <w:suff w:val="tab"/>
      <w:lvlText w:val=" "/>
      <w:lvlJc w:val="left"/>
      <w:pPr>
        <w:ind w:left="1440" w:hanging="480"/>
      </w:pPr>
    </w:lvl>
    <w:lvl w:ilvl="2">
      <w:start w:val="1"/>
      <w:numFmt w:val="bullet"/>
      <w:isLgl w:val="false"/>
      <w:suff w:val="tab"/>
      <w:lvlText w:val=" "/>
      <w:lvlJc w:val="left"/>
      <w:pPr>
        <w:ind w:left="2160" w:hanging="480"/>
      </w:pPr>
    </w:lvl>
    <w:lvl w:ilvl="3">
      <w:start w:val="1"/>
      <w:numFmt w:val="bullet"/>
      <w:isLgl w:val="false"/>
      <w:suff w:val="tab"/>
      <w:lvlText w:val=" "/>
      <w:lvlJc w:val="left"/>
      <w:pPr>
        <w:ind w:left="2880" w:hanging="480"/>
      </w:pPr>
    </w:lvl>
    <w:lvl w:ilvl="4">
      <w:start w:val="1"/>
      <w:numFmt w:val="bullet"/>
      <w:isLgl w:val="false"/>
      <w:suff w:val="tab"/>
      <w:lvlText w:val=" "/>
      <w:lvlJc w:val="left"/>
      <w:pPr>
        <w:ind w:left="3600" w:hanging="480"/>
      </w:pPr>
    </w:lvl>
    <w:lvl w:ilvl="5">
      <w:start w:val="1"/>
      <w:numFmt w:val="bullet"/>
      <w:isLgl w:val="false"/>
      <w:suff w:val="tab"/>
      <w:lvlText w:val=" "/>
      <w:lvlJc w:val="left"/>
      <w:pPr>
        <w:ind w:left="4320" w:hanging="480"/>
      </w:pPr>
    </w:lvl>
    <w:lvl w:ilvl="6">
      <w:start w:val="1"/>
      <w:numFmt w:val="bullet"/>
      <w:isLgl w:val="false"/>
      <w:suff w:val="tab"/>
      <w:lvlText w:val=" "/>
      <w:lvlJc w:val="left"/>
      <w:pPr>
        <w:ind w:left="5040" w:hanging="480"/>
      </w:pPr>
    </w:lvl>
    <w:lvl w:ilvl="7">
      <w:start w:val="1"/>
      <w:numFmt w:val="bullet"/>
      <w:isLgl w:val="false"/>
      <w:suff w:val="tab"/>
      <w:lvlText w:val=" "/>
      <w:lvlJc w:val="left"/>
      <w:pPr>
        <w:ind w:left="5760" w:hanging="480"/>
      </w:pPr>
    </w:lvl>
    <w:lvl w:ilvl="8">
      <w:start w:val="1"/>
      <w:numFmt w:val="bullet"/>
      <w:isLgl w:val="false"/>
      <w:suff w:val="tab"/>
      <w:lvlText w:val=" "/>
      <w:lvlJc w:val="left"/>
      <w:pPr>
        <w:ind w:left="6480" w:hanging="480"/>
      </w:pPr>
    </w:lvl>
  </w:abstractNum>
  <w:abstractNum w:abstractNumId="1">
    <w:multiLevelType w:val="hybridMultilevel"/>
    <w:lvl w:ilvl="0">
      <w:start w:val="1"/>
      <w:numFmt w:val="bullet"/>
      <w:isLgl w:val="false"/>
      <w:suff w:val="tab"/>
      <w:lvlText w:val="•"/>
      <w:lvlJc w:val="left"/>
      <w:pPr>
        <w:ind w:left="720" w:hanging="480"/>
      </w:pPr>
    </w:lvl>
    <w:lvl w:ilvl="1">
      <w:start w:val="1"/>
      <w:numFmt w:val="bullet"/>
      <w:isLgl w:val="false"/>
      <w:suff w:val="tab"/>
      <w:lvlText w:val="–"/>
      <w:lvlJc w:val="left"/>
      <w:pPr>
        <w:ind w:left="1440" w:hanging="480"/>
      </w:pPr>
    </w:lvl>
    <w:lvl w:ilvl="2">
      <w:start w:val="1"/>
      <w:numFmt w:val="bullet"/>
      <w:isLgl w:val="false"/>
      <w:suff w:val="tab"/>
      <w:lvlText w:val="•"/>
      <w:lvlJc w:val="left"/>
      <w:pPr>
        <w:ind w:left="2160" w:hanging="480"/>
      </w:pPr>
    </w:lvl>
    <w:lvl w:ilvl="3">
      <w:start w:val="1"/>
      <w:numFmt w:val="bullet"/>
      <w:isLgl w:val="false"/>
      <w:suff w:val="tab"/>
      <w:lvlText w:val="–"/>
      <w:lvlJc w:val="left"/>
      <w:pPr>
        <w:ind w:left="2880" w:hanging="480"/>
      </w:pPr>
    </w:lvl>
    <w:lvl w:ilvl="4">
      <w:start w:val="1"/>
      <w:numFmt w:val="bullet"/>
      <w:isLgl w:val="false"/>
      <w:suff w:val="tab"/>
      <w:lvlText w:val="•"/>
      <w:lvlJc w:val="left"/>
      <w:pPr>
        <w:ind w:left="3600" w:hanging="480"/>
      </w:pPr>
    </w:lvl>
    <w:lvl w:ilvl="5">
      <w:start w:val="1"/>
      <w:numFmt w:val="bullet"/>
      <w:isLgl w:val="false"/>
      <w:suff w:val="tab"/>
      <w:lvlText w:val="–"/>
      <w:lvlJc w:val="left"/>
      <w:pPr>
        <w:ind w:left="4320" w:hanging="480"/>
      </w:pPr>
    </w:lvl>
    <w:lvl w:ilvl="6">
      <w:start w:val="1"/>
      <w:numFmt w:val="bullet"/>
      <w:isLgl w:val="false"/>
      <w:suff w:val="tab"/>
      <w:lvlText w:val="•"/>
      <w:lvlJc w:val="left"/>
      <w:pPr>
        <w:ind w:left="5040" w:hanging="480"/>
      </w:pPr>
    </w:lvl>
    <w:lvl w:ilvl="7">
      <w:start w:val="1"/>
      <w:numFmt w:val="bullet"/>
      <w:isLgl w:val="false"/>
      <w:suff w:val="tab"/>
      <w:lvlText w:val="–"/>
      <w:lvlJc w:val="left"/>
      <w:pPr>
        <w:ind w:left="5760" w:hanging="480"/>
      </w:pPr>
    </w:lvl>
    <w:lvl w:ilvl="8">
      <w:start w:val="1"/>
      <w:numFmt w:val="bullet"/>
      <w:isLgl w:val="false"/>
      <w:suff w:val="tab"/>
      <w:lvlText w:val="•"/>
      <w:lvlJc w:val="left"/>
      <w:pPr>
        <w:ind w:left="6480" w:hanging="480"/>
      </w:pPr>
    </w:lvl>
  </w:abstractNum>
  <w:num w:numId="1">
    <w:abstractNumId w:val="0"/>
  </w:num>
  <w:num w:numId="2">
    <w:abstractNumId w:val="1"/>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wrapRight m:val="true"/>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rPr>
    </w:rPrDefault>
    <w:pPrDefault>
      <w:pPr>
        <w:spacing w:before="0" w:beforeAutospacing="0" w:after="200" w:afterAutospacing="0" w:line="24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50"/>
    <w:link w:val="639"/>
    <w:uiPriority w:val="9"/>
    <w:rPr>
      <w:rFonts w:ascii="Arial" w:hAnsi="Arial" w:eastAsia="Arial" w:cs="Arial"/>
      <w:sz w:val="40"/>
      <w:szCs w:val="40"/>
    </w:rPr>
  </w:style>
  <w:style w:type="character" w:styleId="16">
    <w:name w:val="Heading 2 Char"/>
    <w:basedOn w:val="650"/>
    <w:link w:val="640"/>
    <w:uiPriority w:val="9"/>
    <w:rPr>
      <w:rFonts w:ascii="Arial" w:hAnsi="Arial" w:eastAsia="Arial" w:cs="Arial"/>
      <w:sz w:val="34"/>
    </w:rPr>
  </w:style>
  <w:style w:type="character" w:styleId="18">
    <w:name w:val="Heading 3 Char"/>
    <w:basedOn w:val="650"/>
    <w:link w:val="641"/>
    <w:uiPriority w:val="9"/>
    <w:rPr>
      <w:rFonts w:ascii="Arial" w:hAnsi="Arial" w:eastAsia="Arial" w:cs="Arial"/>
      <w:sz w:val="30"/>
      <w:szCs w:val="30"/>
    </w:rPr>
  </w:style>
  <w:style w:type="character" w:styleId="20">
    <w:name w:val="Heading 4 Char"/>
    <w:basedOn w:val="650"/>
    <w:link w:val="642"/>
    <w:uiPriority w:val="9"/>
    <w:rPr>
      <w:rFonts w:ascii="Arial" w:hAnsi="Arial" w:eastAsia="Arial" w:cs="Arial"/>
      <w:b/>
      <w:bCs/>
      <w:sz w:val="26"/>
      <w:szCs w:val="26"/>
    </w:rPr>
  </w:style>
  <w:style w:type="character" w:styleId="22">
    <w:name w:val="Heading 5 Char"/>
    <w:basedOn w:val="650"/>
    <w:link w:val="643"/>
    <w:uiPriority w:val="9"/>
    <w:rPr>
      <w:rFonts w:ascii="Arial" w:hAnsi="Arial" w:eastAsia="Arial" w:cs="Arial"/>
      <w:b/>
      <w:bCs/>
      <w:sz w:val="24"/>
      <w:szCs w:val="24"/>
    </w:rPr>
  </w:style>
  <w:style w:type="character" w:styleId="24">
    <w:name w:val="Heading 6 Char"/>
    <w:basedOn w:val="650"/>
    <w:link w:val="644"/>
    <w:uiPriority w:val="9"/>
    <w:rPr>
      <w:rFonts w:ascii="Arial" w:hAnsi="Arial" w:eastAsia="Arial" w:cs="Arial"/>
      <w:b/>
      <w:bCs/>
      <w:sz w:val="22"/>
      <w:szCs w:val="22"/>
    </w:rPr>
  </w:style>
  <w:style w:type="character" w:styleId="26">
    <w:name w:val="Heading 7 Char"/>
    <w:basedOn w:val="650"/>
    <w:link w:val="645"/>
    <w:uiPriority w:val="9"/>
    <w:rPr>
      <w:rFonts w:ascii="Arial" w:hAnsi="Arial" w:eastAsia="Arial" w:cs="Arial"/>
      <w:b/>
      <w:bCs/>
      <w:i/>
      <w:iCs/>
      <w:sz w:val="22"/>
      <w:szCs w:val="22"/>
    </w:rPr>
  </w:style>
  <w:style w:type="character" w:styleId="28">
    <w:name w:val="Heading 8 Char"/>
    <w:basedOn w:val="650"/>
    <w:link w:val="646"/>
    <w:uiPriority w:val="9"/>
    <w:rPr>
      <w:rFonts w:ascii="Arial" w:hAnsi="Arial" w:eastAsia="Arial" w:cs="Arial"/>
      <w:i/>
      <w:iCs/>
      <w:sz w:val="22"/>
      <w:szCs w:val="22"/>
    </w:rPr>
  </w:style>
  <w:style w:type="character" w:styleId="30">
    <w:name w:val="Heading 9 Char"/>
    <w:basedOn w:val="650"/>
    <w:link w:val="647"/>
    <w:uiPriority w:val="9"/>
    <w:rPr>
      <w:rFonts w:ascii="Arial" w:hAnsi="Arial" w:eastAsia="Arial" w:cs="Arial"/>
      <w:i/>
      <w:iCs/>
      <w:sz w:val="21"/>
      <w:szCs w:val="21"/>
    </w:rPr>
  </w:style>
  <w:style w:type="paragraph" w:styleId="31">
    <w:name w:val="List Paragraph"/>
    <w:basedOn w:val="629"/>
    <w:uiPriority w:val="34"/>
    <w:qFormat/>
    <w:pPr>
      <w:contextualSpacing/>
      <w:ind w:left="720"/>
    </w:pPr>
  </w:style>
  <w:style w:type="table" w:styleId="32">
    <w:name w:val="Normal Table"/>
    <w:uiPriority w:val="99"/>
    <w:semiHidden/>
    <w:unhideWhenUsed/>
    <w:tblPr>
      <w:tblInd w:w="0" w:type="dxa"/>
      <w:tblCellMar>
        <w:left w:w="108" w:type="dxa"/>
        <w:top w:w="0" w:type="dxa"/>
        <w:right w:w="108" w:type="dxa"/>
        <w:bottom w:w="0" w:type="dxa"/>
      </w:tblCellMar>
    </w:tblPr>
  </w:style>
  <w:style w:type="paragraph" w:styleId="33">
    <w:name w:val="No Spacing"/>
    <w:uiPriority w:val="1"/>
    <w:qFormat/>
    <w:pPr>
      <w:spacing w:before="0" w:after="0" w:line="240" w:lineRule="auto"/>
    </w:pPr>
  </w:style>
  <w:style w:type="character" w:styleId="35">
    <w:name w:val="Title Char"/>
    <w:basedOn w:val="650"/>
    <w:link w:val="633"/>
    <w:uiPriority w:val="10"/>
    <w:rPr>
      <w:sz w:val="48"/>
      <w:szCs w:val="48"/>
    </w:rPr>
  </w:style>
  <w:style w:type="character" w:styleId="37">
    <w:name w:val="Subtitle Char"/>
    <w:basedOn w:val="650"/>
    <w:link w:val="634"/>
    <w:uiPriority w:val="11"/>
    <w:rPr>
      <w:sz w:val="24"/>
      <w:szCs w:val="24"/>
    </w:rPr>
  </w:style>
  <w:style w:type="paragraph" w:styleId="38">
    <w:name w:val="Quote"/>
    <w:basedOn w:val="629"/>
    <w:next w:val="629"/>
    <w:link w:val="39"/>
    <w:uiPriority w:val="29"/>
    <w:qFormat/>
    <w:pPr>
      <w:ind w:left="720" w:right="720"/>
    </w:pPr>
    <w:rPr>
      <w:i/>
    </w:rPr>
  </w:style>
  <w:style w:type="character" w:styleId="39">
    <w:name w:val="Quote Char"/>
    <w:link w:val="38"/>
    <w:uiPriority w:val="29"/>
    <w:rPr>
      <w:i/>
    </w:rPr>
  </w:style>
  <w:style w:type="paragraph" w:styleId="40">
    <w:name w:val="Intense Quote"/>
    <w:basedOn w:val="629"/>
    <w:next w:val="62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29"/>
    <w:link w:val="43"/>
    <w:uiPriority w:val="99"/>
    <w:unhideWhenUsed/>
    <w:pPr>
      <w:spacing w:after="0" w:line="240" w:lineRule="auto"/>
      <w:tabs>
        <w:tab w:val="center" w:pos="7143" w:leader="none"/>
        <w:tab w:val="right" w:pos="14287" w:leader="none"/>
      </w:tabs>
    </w:pPr>
  </w:style>
  <w:style w:type="character" w:styleId="43">
    <w:name w:val="Header Char"/>
    <w:basedOn w:val="650"/>
    <w:link w:val="42"/>
    <w:uiPriority w:val="99"/>
  </w:style>
  <w:style w:type="paragraph" w:styleId="44">
    <w:name w:val="Footer"/>
    <w:basedOn w:val="629"/>
    <w:link w:val="47"/>
    <w:uiPriority w:val="99"/>
    <w:unhideWhenUsed/>
    <w:pPr>
      <w:spacing w:after="0" w:line="240" w:lineRule="auto"/>
      <w:tabs>
        <w:tab w:val="center" w:pos="7143" w:leader="none"/>
        <w:tab w:val="right" w:pos="14287" w:leader="none"/>
      </w:tabs>
    </w:pPr>
  </w:style>
  <w:style w:type="character" w:styleId="45">
    <w:name w:val="Footer Char"/>
    <w:basedOn w:val="650"/>
    <w:link w:val="44"/>
    <w:uiPriority w:val="99"/>
  </w:style>
  <w:style w:type="character" w:styleId="47">
    <w:name w:val="Caption Char"/>
    <w:basedOn w:val="654"/>
    <w:link w:val="44"/>
    <w:uiPriority w:val="99"/>
  </w:style>
  <w:style w:type="table" w:styleId="48">
    <w:name w:val="Table Grid"/>
    <w:basedOn w:val="3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3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3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3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3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3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3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3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3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3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3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3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3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3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3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3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3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3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3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3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3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3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3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32"/>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3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32"/>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32"/>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32"/>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32"/>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3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3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3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3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3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3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3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3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3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3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3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3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3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3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3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3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3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3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3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3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3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3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3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3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3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3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3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3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3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3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3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3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3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3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3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3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3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3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3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3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3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3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3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3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6">
    <w:name w:val="Footnote Text Char"/>
    <w:link w:val="649"/>
    <w:uiPriority w:val="99"/>
    <w:rPr>
      <w:sz w:val="18"/>
    </w:rPr>
  </w:style>
  <w:style w:type="paragraph" w:styleId="178">
    <w:name w:val="endnote text"/>
    <w:basedOn w:val="62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50"/>
    <w:uiPriority w:val="99"/>
    <w:semiHidden/>
    <w:unhideWhenUsed/>
    <w:rPr>
      <w:vertAlign w:val="superscript"/>
    </w:rPr>
  </w:style>
  <w:style w:type="paragraph" w:styleId="181">
    <w:name w:val="toc 1"/>
    <w:basedOn w:val="629"/>
    <w:next w:val="629"/>
    <w:uiPriority w:val="39"/>
    <w:unhideWhenUsed/>
    <w:pPr>
      <w:ind w:left="0" w:right="0" w:firstLine="0"/>
      <w:spacing w:after="57"/>
    </w:pPr>
  </w:style>
  <w:style w:type="paragraph" w:styleId="182">
    <w:name w:val="toc 2"/>
    <w:basedOn w:val="629"/>
    <w:next w:val="629"/>
    <w:uiPriority w:val="39"/>
    <w:unhideWhenUsed/>
    <w:pPr>
      <w:ind w:left="283" w:right="0" w:firstLine="0"/>
      <w:spacing w:after="57"/>
    </w:pPr>
  </w:style>
  <w:style w:type="paragraph" w:styleId="183">
    <w:name w:val="toc 3"/>
    <w:basedOn w:val="629"/>
    <w:next w:val="629"/>
    <w:uiPriority w:val="39"/>
    <w:unhideWhenUsed/>
    <w:pPr>
      <w:ind w:left="567" w:right="0" w:firstLine="0"/>
      <w:spacing w:after="57"/>
    </w:pPr>
  </w:style>
  <w:style w:type="paragraph" w:styleId="184">
    <w:name w:val="toc 4"/>
    <w:basedOn w:val="629"/>
    <w:next w:val="629"/>
    <w:uiPriority w:val="39"/>
    <w:unhideWhenUsed/>
    <w:pPr>
      <w:ind w:left="850" w:right="0" w:firstLine="0"/>
      <w:spacing w:after="57"/>
    </w:pPr>
  </w:style>
  <w:style w:type="paragraph" w:styleId="185">
    <w:name w:val="toc 5"/>
    <w:basedOn w:val="629"/>
    <w:next w:val="629"/>
    <w:uiPriority w:val="39"/>
    <w:unhideWhenUsed/>
    <w:pPr>
      <w:ind w:left="1134" w:right="0" w:firstLine="0"/>
      <w:spacing w:after="57"/>
    </w:pPr>
  </w:style>
  <w:style w:type="paragraph" w:styleId="186">
    <w:name w:val="toc 6"/>
    <w:basedOn w:val="629"/>
    <w:next w:val="629"/>
    <w:uiPriority w:val="39"/>
    <w:unhideWhenUsed/>
    <w:pPr>
      <w:ind w:left="1417" w:right="0" w:firstLine="0"/>
      <w:spacing w:after="57"/>
    </w:pPr>
  </w:style>
  <w:style w:type="paragraph" w:styleId="187">
    <w:name w:val="toc 7"/>
    <w:basedOn w:val="629"/>
    <w:next w:val="629"/>
    <w:uiPriority w:val="39"/>
    <w:unhideWhenUsed/>
    <w:pPr>
      <w:ind w:left="1701" w:right="0" w:firstLine="0"/>
      <w:spacing w:after="57"/>
    </w:pPr>
  </w:style>
  <w:style w:type="paragraph" w:styleId="188">
    <w:name w:val="toc 8"/>
    <w:basedOn w:val="629"/>
    <w:next w:val="629"/>
    <w:uiPriority w:val="39"/>
    <w:unhideWhenUsed/>
    <w:pPr>
      <w:ind w:left="1984" w:right="0" w:firstLine="0"/>
      <w:spacing w:after="57"/>
    </w:pPr>
  </w:style>
  <w:style w:type="paragraph" w:styleId="189">
    <w:name w:val="toc 9"/>
    <w:basedOn w:val="629"/>
    <w:next w:val="629"/>
    <w:uiPriority w:val="39"/>
    <w:unhideWhenUsed/>
    <w:pPr>
      <w:ind w:left="2268" w:right="0" w:firstLine="0"/>
      <w:spacing w:after="57"/>
    </w:pPr>
  </w:style>
  <w:style w:type="paragraph" w:styleId="191">
    <w:name w:val="table of figures"/>
    <w:basedOn w:val="629"/>
    <w:next w:val="629"/>
    <w:uiPriority w:val="99"/>
    <w:unhideWhenUsed/>
    <w:pPr>
      <w:spacing w:after="0" w:afterAutospacing="0"/>
    </w:pPr>
  </w:style>
  <w:style w:type="paragraph" w:styleId="629" w:default="1">
    <w:name w:val="Normal"/>
    <w:qFormat/>
  </w:style>
  <w:style w:type="paragraph" w:styleId="630">
    <w:name w:val="Body Text"/>
    <w:basedOn w:val="629"/>
    <w:link w:val="659"/>
    <w:qFormat/>
    <w:pPr>
      <w:spacing w:before="180" w:after="180"/>
    </w:pPr>
  </w:style>
  <w:style w:type="paragraph" w:styleId="631" w:customStyle="1">
    <w:name w:val="First Paragraph"/>
    <w:basedOn w:val="630"/>
    <w:next w:val="630"/>
    <w:qFormat/>
  </w:style>
  <w:style w:type="paragraph" w:styleId="632" w:customStyle="1">
    <w:name w:val="Compact"/>
    <w:basedOn w:val="630"/>
    <w:qFormat/>
    <w:pPr>
      <w:spacing w:before="36" w:after="36"/>
    </w:pPr>
  </w:style>
  <w:style w:type="paragraph" w:styleId="633">
    <w:name w:val="Title"/>
    <w:basedOn w:val="629"/>
    <w:next w:val="630"/>
    <w:qFormat/>
    <w:pPr>
      <w:jc w:val="center"/>
      <w:keepLines/>
      <w:keepNext/>
      <w:spacing w:before="480" w:after="240"/>
    </w:pPr>
    <w:rPr>
      <w:rFonts w:asciiTheme="majorHAnsi" w:hAnsiTheme="majorHAnsi" w:eastAsiaTheme="majorEastAsia" w:cstheme="majorBidi"/>
      <w:b/>
      <w:bCs/>
      <w:color w:val="345a8a" w:themeColor="accent1" w:themeShade="B5"/>
      <w:sz w:val="36"/>
      <w:szCs w:val="36"/>
    </w:rPr>
  </w:style>
  <w:style w:type="paragraph" w:styleId="634">
    <w:name w:val="Subtitle"/>
    <w:basedOn w:val="633"/>
    <w:next w:val="630"/>
    <w:qFormat/>
    <w:pPr>
      <w:jc w:val="center"/>
      <w:keepLines/>
      <w:keepNext/>
      <w:spacing w:before="240" w:after="240"/>
    </w:pPr>
    <w:rPr>
      <w:sz w:val="30"/>
      <w:szCs w:val="30"/>
    </w:rPr>
  </w:style>
  <w:style w:type="paragraph" w:styleId="635" w:customStyle="1">
    <w:name w:val="Author"/>
    <w:next w:val="630"/>
    <w:qFormat/>
    <w:pPr>
      <w:jc w:val="center"/>
      <w:keepLines/>
      <w:keepNext/>
    </w:pPr>
  </w:style>
  <w:style w:type="paragraph" w:styleId="636">
    <w:name w:val="Date"/>
    <w:next w:val="630"/>
    <w:qFormat/>
    <w:pPr>
      <w:jc w:val="center"/>
      <w:keepLines/>
      <w:keepNext/>
    </w:pPr>
  </w:style>
  <w:style w:type="paragraph" w:styleId="637" w:customStyle="1">
    <w:name w:val="Abstract"/>
    <w:basedOn w:val="629"/>
    <w:next w:val="630"/>
    <w:qFormat/>
    <w:pPr>
      <w:keepLines/>
      <w:keepNext/>
      <w:spacing w:before="300" w:after="300"/>
    </w:pPr>
    <w:rPr>
      <w:sz w:val="20"/>
      <w:szCs w:val="20"/>
    </w:rPr>
  </w:style>
  <w:style w:type="paragraph" w:styleId="638">
    <w:name w:val="Bibliography"/>
    <w:basedOn w:val="629"/>
    <w:next w:val="638"/>
    <w:qFormat/>
  </w:style>
  <w:style w:type="paragraph" w:styleId="639">
    <w:name w:val="Heading 1"/>
    <w:basedOn w:val="629"/>
    <w:next w:val="630"/>
    <w:uiPriority w:val="9"/>
    <w:qFormat/>
    <w:pPr>
      <w:keepLines/>
      <w:keepNext/>
      <w:spacing w:before="480" w:after="0"/>
      <w:outlineLvl w:val="0"/>
    </w:pPr>
    <w:rPr>
      <w:rFonts w:asciiTheme="majorHAnsi" w:hAnsiTheme="majorHAnsi" w:eastAsiaTheme="majorEastAsia" w:cstheme="majorBidi"/>
      <w:b/>
      <w:bCs/>
      <w:color w:val="4f81bd" w:themeColor="accent1"/>
      <w:sz w:val="32"/>
      <w:szCs w:val="32"/>
    </w:rPr>
  </w:style>
  <w:style w:type="paragraph" w:styleId="640">
    <w:name w:val="Heading 2"/>
    <w:basedOn w:val="629"/>
    <w:next w:val="630"/>
    <w:uiPriority w:val="9"/>
    <w:unhideWhenUsed/>
    <w:qFormat/>
    <w:pPr>
      <w:keepLines/>
      <w:keepNext/>
      <w:spacing w:before="200" w:after="0"/>
      <w:outlineLvl w:val="1"/>
    </w:pPr>
    <w:rPr>
      <w:rFonts w:asciiTheme="majorHAnsi" w:hAnsiTheme="majorHAnsi" w:eastAsiaTheme="majorEastAsia" w:cstheme="majorBidi"/>
      <w:b/>
      <w:bCs/>
      <w:color w:val="4f81bd" w:themeColor="accent1"/>
      <w:sz w:val="28"/>
      <w:szCs w:val="28"/>
    </w:rPr>
  </w:style>
  <w:style w:type="paragraph" w:styleId="641">
    <w:name w:val="Heading 3"/>
    <w:basedOn w:val="629"/>
    <w:next w:val="630"/>
    <w:uiPriority w:val="9"/>
    <w:unhideWhenUsed/>
    <w:qFormat/>
    <w:pPr>
      <w:keepLines/>
      <w:keepNext/>
      <w:spacing w:before="200" w:after="0"/>
      <w:outlineLvl w:val="2"/>
    </w:pPr>
    <w:rPr>
      <w:rFonts w:asciiTheme="majorHAnsi" w:hAnsiTheme="majorHAnsi" w:eastAsiaTheme="majorEastAsia" w:cstheme="majorBidi"/>
      <w:b/>
      <w:bCs/>
      <w:color w:val="4f81bd" w:themeColor="accent1"/>
      <w:sz w:val="24"/>
      <w:szCs w:val="24"/>
    </w:rPr>
  </w:style>
  <w:style w:type="paragraph" w:styleId="642">
    <w:name w:val="Heading 4"/>
    <w:basedOn w:val="629"/>
    <w:next w:val="630"/>
    <w:uiPriority w:val="9"/>
    <w:unhideWhenUsed/>
    <w:qFormat/>
    <w:pPr>
      <w:keepLines/>
      <w:keepNext/>
      <w:spacing w:before="200" w:after="0"/>
      <w:outlineLvl w:val="3"/>
    </w:pPr>
    <w:rPr>
      <w:rFonts w:asciiTheme="majorHAnsi" w:hAnsiTheme="majorHAnsi" w:eastAsiaTheme="majorEastAsia" w:cstheme="majorBidi"/>
      <w:bCs/>
      <w:i/>
      <w:color w:val="4f81bd" w:themeColor="accent1"/>
      <w:sz w:val="24"/>
      <w:szCs w:val="24"/>
    </w:rPr>
  </w:style>
  <w:style w:type="paragraph" w:styleId="643">
    <w:name w:val="Heading 5"/>
    <w:basedOn w:val="629"/>
    <w:next w:val="630"/>
    <w:uiPriority w:val="9"/>
    <w:unhideWhenUsed/>
    <w:qFormat/>
    <w:pPr>
      <w:keepLines/>
      <w:keepNext/>
      <w:spacing w:before="200" w:after="0"/>
      <w:outlineLvl w:val="4"/>
    </w:pPr>
    <w:rPr>
      <w:rFonts w:asciiTheme="majorHAnsi" w:hAnsiTheme="majorHAnsi" w:eastAsiaTheme="majorEastAsia" w:cstheme="majorBidi"/>
      <w:iCs/>
      <w:color w:val="4f81bd" w:themeColor="accent1"/>
      <w:sz w:val="24"/>
      <w:szCs w:val="24"/>
    </w:rPr>
  </w:style>
  <w:style w:type="paragraph" w:styleId="644">
    <w:name w:val="Heading 6"/>
    <w:basedOn w:val="629"/>
    <w:next w:val="630"/>
    <w:uiPriority w:val="9"/>
    <w:unhideWhenUsed/>
    <w:qFormat/>
    <w:pPr>
      <w:keepLines/>
      <w:keepNext/>
      <w:spacing w:before="200" w:after="0"/>
      <w:outlineLvl w:val="5"/>
    </w:pPr>
    <w:rPr>
      <w:rFonts w:asciiTheme="majorHAnsi" w:hAnsiTheme="majorHAnsi" w:eastAsiaTheme="majorEastAsia" w:cstheme="majorBidi"/>
      <w:color w:val="4f81bd" w:themeColor="accent1"/>
      <w:sz w:val="24"/>
      <w:szCs w:val="24"/>
    </w:rPr>
  </w:style>
  <w:style w:type="paragraph" w:styleId="645">
    <w:name w:val="Heading 7"/>
    <w:basedOn w:val="629"/>
    <w:next w:val="630"/>
    <w:uiPriority w:val="9"/>
    <w:unhideWhenUsed/>
    <w:qFormat/>
    <w:pPr>
      <w:keepLines/>
      <w:keepNext/>
      <w:spacing w:before="200" w:after="0"/>
      <w:outlineLvl w:val="6"/>
    </w:pPr>
    <w:rPr>
      <w:rFonts w:asciiTheme="majorHAnsi" w:hAnsiTheme="majorHAnsi" w:eastAsiaTheme="majorEastAsia" w:cstheme="majorBidi"/>
      <w:color w:val="4f81bd" w:themeColor="accent1"/>
      <w:sz w:val="24"/>
      <w:szCs w:val="24"/>
    </w:rPr>
  </w:style>
  <w:style w:type="paragraph" w:styleId="646">
    <w:name w:val="Heading 8"/>
    <w:basedOn w:val="629"/>
    <w:next w:val="630"/>
    <w:uiPriority w:val="9"/>
    <w:unhideWhenUsed/>
    <w:qFormat/>
    <w:pPr>
      <w:keepLines/>
      <w:keepNext/>
      <w:spacing w:before="200" w:after="0"/>
      <w:outlineLvl w:val="7"/>
    </w:pPr>
    <w:rPr>
      <w:rFonts w:asciiTheme="majorHAnsi" w:hAnsiTheme="majorHAnsi" w:eastAsiaTheme="majorEastAsia" w:cstheme="majorBidi"/>
      <w:color w:val="4f81bd" w:themeColor="accent1"/>
      <w:sz w:val="24"/>
      <w:szCs w:val="24"/>
    </w:rPr>
  </w:style>
  <w:style w:type="paragraph" w:styleId="647">
    <w:name w:val="Heading 9"/>
    <w:basedOn w:val="629"/>
    <w:next w:val="630"/>
    <w:uiPriority w:val="9"/>
    <w:unhideWhenUsed/>
    <w:qFormat/>
    <w:pPr>
      <w:keepLines/>
      <w:keepNext/>
      <w:spacing w:before="200" w:after="0"/>
      <w:outlineLvl w:val="8"/>
    </w:pPr>
    <w:rPr>
      <w:rFonts w:asciiTheme="majorHAnsi" w:hAnsiTheme="majorHAnsi" w:eastAsiaTheme="majorEastAsia" w:cstheme="majorBidi"/>
      <w:color w:val="4f81bd" w:themeColor="accent1"/>
      <w:sz w:val="24"/>
      <w:szCs w:val="24"/>
    </w:rPr>
  </w:style>
  <w:style w:type="paragraph" w:styleId="648">
    <w:name w:val="Block Text"/>
    <w:basedOn w:val="630"/>
    <w:next w:val="630"/>
    <w:uiPriority w:val="9"/>
    <w:unhideWhenUsed/>
    <w:qFormat/>
    <w:pPr>
      <w:ind w:left="480" w:right="480" w:firstLine="0"/>
      <w:spacing w:before="100" w:after="100"/>
    </w:pPr>
  </w:style>
  <w:style w:type="paragraph" w:styleId="649">
    <w:name w:val="footnote text"/>
    <w:basedOn w:val="629"/>
    <w:next w:val="649"/>
    <w:uiPriority w:val="9"/>
    <w:unhideWhenUsed/>
    <w:qFormat/>
  </w:style>
  <w:style w:type="character" w:styleId="650" w:default="1">
    <w:name w:val="Default Paragraph Font"/>
    <w:semiHidden/>
    <w:unhideWhenUsed/>
  </w:style>
  <w:style w:type="table" w:styleId="651" w:default="1">
    <w:name w:val="Table"/>
    <w:semiHidden/>
    <w:unhideWhenUsed/>
    <w:qFormat/>
    <w:tblPr>
      <w:tblInd w:w="0" w:type="dxa"/>
      <w:tblCellMar>
        <w:left w:w="108" w:type="dxa"/>
        <w:top w:w="0" w:type="dxa"/>
        <w:right w:w="108" w:type="dxa"/>
        <w:bottom w:w="0" w:type="dxa"/>
      </w:tblCellMar>
    </w:tblPr>
    <w:tblStylePr w:type="firstRow">
      <w:tblPr>
        <w:tblInd w:w="0" w:type="dxa"/>
      </w:tblPr>
      <w:trPr>
        <w:jc w:val="left"/>
      </w:trPr>
      <w:tcPr>
        <w:tcBorders>
          <w:bottom w:val="single" w:color="000000" w:sz="4" w:space="0"/>
        </w:tcBorders>
        <w:vAlign w:val="bottom"/>
      </w:tcPr>
    </w:tblStylePr>
  </w:style>
  <w:style w:type="paragraph" w:styleId="652" w:customStyle="1">
    <w:name w:val="Definition Term"/>
    <w:basedOn w:val="629"/>
    <w:next w:val="653"/>
    <w:pPr>
      <w:keepLines/>
      <w:keepNext/>
      <w:spacing w:after="0"/>
    </w:pPr>
    <w:rPr>
      <w:b/>
    </w:rPr>
  </w:style>
  <w:style w:type="paragraph" w:styleId="653" w:customStyle="1">
    <w:name w:val="Definition"/>
    <w:basedOn w:val="629"/>
  </w:style>
  <w:style w:type="paragraph" w:styleId="654">
    <w:name w:val="Caption"/>
    <w:basedOn w:val="629"/>
    <w:link w:val="659"/>
    <w:pPr>
      <w:spacing w:before="0" w:after="120"/>
    </w:pPr>
    <w:rPr>
      <w:i/>
    </w:rPr>
  </w:style>
  <w:style w:type="paragraph" w:styleId="655" w:customStyle="1">
    <w:name w:val="Table Caption"/>
    <w:basedOn w:val="654"/>
    <w:pPr>
      <w:keepNext/>
    </w:pPr>
  </w:style>
  <w:style w:type="paragraph" w:styleId="656" w:customStyle="1">
    <w:name w:val="Image Caption"/>
    <w:basedOn w:val="654"/>
  </w:style>
  <w:style w:type="paragraph" w:styleId="657" w:customStyle="1">
    <w:name w:val="Figure"/>
    <w:basedOn w:val="629"/>
  </w:style>
  <w:style w:type="paragraph" w:styleId="658" w:customStyle="1">
    <w:name w:val="Captioned Figure"/>
    <w:basedOn w:val="657"/>
    <w:pPr>
      <w:keepNext/>
    </w:pPr>
  </w:style>
  <w:style w:type="character" w:styleId="659" w:customStyle="1">
    <w:name w:val="Body Text Char"/>
    <w:basedOn w:val="650"/>
    <w:link w:val="630"/>
  </w:style>
  <w:style w:type="character" w:styleId="660" w:customStyle="1">
    <w:name w:val="Verbatim Char"/>
    <w:basedOn w:val="659"/>
    <w:rPr>
      <w:rFonts w:ascii="Consolas" w:hAnsi="Consolas"/>
      <w:sz w:val="22"/>
    </w:rPr>
  </w:style>
  <w:style w:type="character" w:styleId="661" w:customStyle="1">
    <w:name w:val="Section Number"/>
    <w:basedOn w:val="659"/>
  </w:style>
  <w:style w:type="character" w:styleId="662">
    <w:name w:val="footnote reference"/>
    <w:basedOn w:val="659"/>
    <w:rPr>
      <w:vertAlign w:val="superscript"/>
    </w:rPr>
  </w:style>
  <w:style w:type="character" w:styleId="663">
    <w:name w:val="Hyperlink"/>
    <w:basedOn w:val="659"/>
    <w:rPr>
      <w:color w:val="4f81bd" w:themeColor="accent1"/>
    </w:rPr>
  </w:style>
  <w:style w:type="paragraph" w:styleId="664">
    <w:name w:val="TOC Heading"/>
    <w:basedOn w:val="639"/>
    <w:next w:val="630"/>
    <w:uiPriority w:val="39"/>
    <w:unhideWhenUsed/>
    <w:qFormat/>
    <w:pPr>
      <w:spacing w:before="240" w:line="259" w:lineRule="auto"/>
      <w:outlineLvl w:val="9"/>
    </w:pPr>
    <w:rPr>
      <w:rFonts w:asciiTheme="majorHAnsi" w:hAnsiTheme="majorHAnsi" w:eastAsiaTheme="majorEastAsia" w:cstheme="majorBidi"/>
      <w:b w:val="0"/>
      <w:bCs w:val="0"/>
      <w:color w:val="365f91" w:themeColor="accent1" w:themeShade="BF"/>
    </w:rPr>
  </w:style>
  <w:style w:type="paragraph" w:styleId="665" w:customStyle="1">
    <w:name w:val="Source Code"/>
    <w:basedOn w:val="629"/>
    <w:link w:val="660"/>
    <w:pPr>
      <w:shd w:val="clear" w:color="auto" w:fill="f8f8f8"/>
    </w:pPr>
  </w:style>
  <w:style w:type="character" w:styleId="666" w:customStyle="1">
    <w:name w:val="KeywordTok"/>
    <w:basedOn w:val="660"/>
    <w:rPr>
      <w:b/>
      <w:color w:val="204a87"/>
      <w:shd w:val="clear" w:color="auto" w:fill="f8f8f8"/>
    </w:rPr>
  </w:style>
  <w:style w:type="character" w:styleId="667" w:customStyle="1">
    <w:name w:val="DataTypeTok"/>
    <w:basedOn w:val="660"/>
    <w:rPr>
      <w:color w:val="204a87"/>
      <w:shd w:val="clear" w:color="auto" w:fill="f8f8f8"/>
    </w:rPr>
  </w:style>
  <w:style w:type="character" w:styleId="668" w:customStyle="1">
    <w:name w:val="DecValTok"/>
    <w:basedOn w:val="660"/>
    <w:rPr>
      <w:color w:val="0000cf"/>
      <w:shd w:val="clear" w:color="auto" w:fill="f8f8f8"/>
    </w:rPr>
  </w:style>
  <w:style w:type="character" w:styleId="669" w:customStyle="1">
    <w:name w:val="BaseNTok"/>
    <w:basedOn w:val="660"/>
    <w:rPr>
      <w:color w:val="0000cf"/>
      <w:shd w:val="clear" w:color="auto" w:fill="f8f8f8"/>
    </w:rPr>
  </w:style>
  <w:style w:type="character" w:styleId="670" w:customStyle="1">
    <w:name w:val="FloatTok"/>
    <w:basedOn w:val="660"/>
    <w:rPr>
      <w:color w:val="0000cf"/>
      <w:shd w:val="clear" w:color="auto" w:fill="f8f8f8"/>
    </w:rPr>
  </w:style>
  <w:style w:type="character" w:styleId="671" w:customStyle="1">
    <w:name w:val="ConstantTok"/>
    <w:basedOn w:val="660"/>
    <w:rPr>
      <w:color w:val="8f5902"/>
      <w:shd w:val="clear" w:color="auto" w:fill="f8f8f8"/>
    </w:rPr>
  </w:style>
  <w:style w:type="character" w:styleId="672" w:customStyle="1">
    <w:name w:val="CharTok"/>
    <w:basedOn w:val="660"/>
    <w:rPr>
      <w:color w:val="4e9a06"/>
      <w:shd w:val="clear" w:color="auto" w:fill="f8f8f8"/>
    </w:rPr>
  </w:style>
  <w:style w:type="character" w:styleId="673" w:customStyle="1">
    <w:name w:val="SpecialCharTok"/>
    <w:basedOn w:val="660"/>
    <w:rPr>
      <w:b/>
      <w:color w:val="ce5c00"/>
      <w:shd w:val="clear" w:color="auto" w:fill="f8f8f8"/>
    </w:rPr>
  </w:style>
  <w:style w:type="character" w:styleId="674" w:customStyle="1">
    <w:name w:val="StringTok"/>
    <w:basedOn w:val="660"/>
    <w:rPr>
      <w:color w:val="4e9a06"/>
      <w:shd w:val="clear" w:color="auto" w:fill="f8f8f8"/>
    </w:rPr>
  </w:style>
  <w:style w:type="character" w:styleId="675" w:customStyle="1">
    <w:name w:val="VerbatimStringTok"/>
    <w:basedOn w:val="660"/>
    <w:rPr>
      <w:color w:val="4e9a06"/>
      <w:shd w:val="clear" w:color="auto" w:fill="f8f8f8"/>
    </w:rPr>
  </w:style>
  <w:style w:type="character" w:styleId="676" w:customStyle="1">
    <w:name w:val="SpecialStringTok"/>
    <w:basedOn w:val="660"/>
    <w:rPr>
      <w:color w:val="4e9a06"/>
      <w:shd w:val="clear" w:color="auto" w:fill="f8f8f8"/>
    </w:rPr>
  </w:style>
  <w:style w:type="character" w:styleId="677" w:customStyle="1">
    <w:name w:val="ImportTok"/>
    <w:basedOn w:val="660"/>
    <w:rPr>
      <w:shd w:val="clear" w:color="auto" w:fill="f8f8f8"/>
    </w:rPr>
  </w:style>
  <w:style w:type="character" w:styleId="678" w:customStyle="1">
    <w:name w:val="CommentTok"/>
    <w:basedOn w:val="660"/>
    <w:rPr>
      <w:i/>
      <w:color w:val="8f5902"/>
      <w:shd w:val="clear" w:color="auto" w:fill="f8f8f8"/>
    </w:rPr>
  </w:style>
  <w:style w:type="character" w:styleId="679" w:customStyle="1">
    <w:name w:val="DocumentationTok"/>
    <w:basedOn w:val="660"/>
    <w:rPr>
      <w:b/>
      <w:i/>
      <w:color w:val="8f5902"/>
      <w:shd w:val="clear" w:color="auto" w:fill="f8f8f8"/>
    </w:rPr>
  </w:style>
  <w:style w:type="character" w:styleId="680" w:customStyle="1">
    <w:name w:val="AnnotationTok"/>
    <w:basedOn w:val="660"/>
    <w:rPr>
      <w:b/>
      <w:i/>
      <w:color w:val="8f5902"/>
      <w:shd w:val="clear" w:color="auto" w:fill="f8f8f8"/>
    </w:rPr>
  </w:style>
  <w:style w:type="character" w:styleId="681" w:customStyle="1">
    <w:name w:val="CommentVarTok"/>
    <w:basedOn w:val="660"/>
    <w:rPr>
      <w:b/>
      <w:i/>
      <w:color w:val="8f5902"/>
      <w:shd w:val="clear" w:color="auto" w:fill="f8f8f8"/>
    </w:rPr>
  </w:style>
  <w:style w:type="character" w:styleId="682" w:customStyle="1">
    <w:name w:val="OtherTok"/>
    <w:basedOn w:val="660"/>
    <w:rPr>
      <w:color w:val="8f5902"/>
      <w:shd w:val="clear" w:color="auto" w:fill="f8f8f8"/>
    </w:rPr>
  </w:style>
  <w:style w:type="character" w:styleId="683" w:customStyle="1">
    <w:name w:val="FunctionTok"/>
    <w:basedOn w:val="660"/>
    <w:rPr>
      <w:b/>
      <w:color w:val="204a87"/>
      <w:shd w:val="clear" w:color="auto" w:fill="f8f8f8"/>
    </w:rPr>
  </w:style>
  <w:style w:type="character" w:styleId="684" w:customStyle="1">
    <w:name w:val="VariableTok"/>
    <w:basedOn w:val="660"/>
    <w:rPr>
      <w:color w:val="000000"/>
      <w:shd w:val="clear" w:color="auto" w:fill="f8f8f8"/>
    </w:rPr>
  </w:style>
  <w:style w:type="character" w:styleId="685" w:customStyle="1">
    <w:name w:val="ControlFlowTok"/>
    <w:basedOn w:val="660"/>
    <w:rPr>
      <w:b/>
      <w:color w:val="204a87"/>
      <w:shd w:val="clear" w:color="auto" w:fill="f8f8f8"/>
    </w:rPr>
  </w:style>
  <w:style w:type="character" w:styleId="686" w:customStyle="1">
    <w:name w:val="OperatorTok"/>
    <w:basedOn w:val="660"/>
    <w:rPr>
      <w:b/>
      <w:color w:val="ce5c00"/>
      <w:shd w:val="clear" w:color="auto" w:fill="f8f8f8"/>
    </w:rPr>
  </w:style>
  <w:style w:type="character" w:styleId="687" w:customStyle="1">
    <w:name w:val="BuiltInTok"/>
    <w:basedOn w:val="660"/>
    <w:rPr>
      <w:shd w:val="clear" w:color="auto" w:fill="f8f8f8"/>
    </w:rPr>
  </w:style>
  <w:style w:type="character" w:styleId="688" w:customStyle="1">
    <w:name w:val="ExtensionTok"/>
    <w:basedOn w:val="660"/>
    <w:rPr>
      <w:shd w:val="clear" w:color="auto" w:fill="f8f8f8"/>
    </w:rPr>
  </w:style>
  <w:style w:type="character" w:styleId="689" w:customStyle="1">
    <w:name w:val="PreprocessorTok"/>
    <w:basedOn w:val="660"/>
    <w:rPr>
      <w:i/>
      <w:color w:val="8f5902"/>
      <w:shd w:val="clear" w:color="auto" w:fill="f8f8f8"/>
    </w:rPr>
  </w:style>
  <w:style w:type="character" w:styleId="690" w:customStyle="1">
    <w:name w:val="AttributeTok"/>
    <w:basedOn w:val="660"/>
    <w:rPr>
      <w:color w:val="204a87"/>
      <w:shd w:val="clear" w:color="auto" w:fill="f8f8f8"/>
    </w:rPr>
  </w:style>
  <w:style w:type="character" w:styleId="691" w:customStyle="1">
    <w:name w:val="RegionMarkerTok"/>
    <w:basedOn w:val="660"/>
    <w:rPr>
      <w:shd w:val="clear" w:color="auto" w:fill="f8f8f8"/>
    </w:rPr>
  </w:style>
  <w:style w:type="character" w:styleId="692" w:customStyle="1">
    <w:name w:val="InformationTok"/>
    <w:basedOn w:val="660"/>
    <w:rPr>
      <w:b/>
      <w:i/>
      <w:color w:val="8f5902"/>
      <w:shd w:val="clear" w:color="auto" w:fill="f8f8f8"/>
    </w:rPr>
  </w:style>
  <w:style w:type="character" w:styleId="693" w:customStyle="1">
    <w:name w:val="WarningTok"/>
    <w:basedOn w:val="660"/>
    <w:rPr>
      <w:b/>
      <w:i/>
      <w:color w:val="8f5902"/>
      <w:shd w:val="clear" w:color="auto" w:fill="f8f8f8"/>
    </w:rPr>
  </w:style>
  <w:style w:type="character" w:styleId="694" w:customStyle="1">
    <w:name w:val="AlertTok"/>
    <w:basedOn w:val="660"/>
    <w:rPr>
      <w:color w:val="ef2929"/>
      <w:shd w:val="clear" w:color="auto" w:fill="f8f8f8"/>
    </w:rPr>
  </w:style>
  <w:style w:type="character" w:styleId="695" w:customStyle="1">
    <w:name w:val="ErrorTok"/>
    <w:basedOn w:val="660"/>
    <w:rPr>
      <w:b/>
      <w:color w:val="a40000"/>
      <w:shd w:val="clear" w:color="auto" w:fill="f8f8f8"/>
    </w:rPr>
  </w:style>
  <w:style w:type="character" w:styleId="696" w:customStyle="1">
    <w:name w:val="NormalTok"/>
    <w:basedOn w:val="660"/>
    <w:rPr>
      <w:shd w:val="clear" w:color="auto" w:fill="f8f8f8"/>
    </w:rPr>
  </w:style>
  <w:style w:type="numbering" w:styleId="1009"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Suivi de l’analyse</dc:title>
  <dc:creator>Corentin Choisy</dc:creator>
  <cp:keywords/>
  <cp:revision>1</cp:revision>
  <dcterms:created xsi:type="dcterms:W3CDTF">2023-04-03T16:21:05Z</dcterms:created>
  <dcterms:modified xsi:type="dcterms:W3CDTF">2023-04-03T16:21:42Z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2023-04-03</vt:lpwstr>
  </property>
  <property fmtid="{D5CDD505-2E9C-101B-9397-08002B2CF9AE}" pid="3" name="output">
    <vt:lpwstr/>
  </property>
</Properties>
</file>