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237"/>
        <w:gridCol w:w="6823"/>
      </w:tblGrid>
      <w:tr w:rsidR="00A45976" w:rsidRPr="00514706" w14:paraId="289BC474" w14:textId="330E7E55" w:rsidTr="00A45976">
        <w:trPr>
          <w:trHeight w:val="300"/>
        </w:trPr>
        <w:tc>
          <w:tcPr>
            <w:tcW w:w="3237" w:type="dxa"/>
            <w:noWrap/>
            <w:hideMark/>
          </w:tcPr>
          <w:p w14:paraId="289BC473" w14:textId="77777777" w:rsidR="00A45976" w:rsidRPr="00514706" w:rsidRDefault="00A45976">
            <w:proofErr w:type="spellStart"/>
            <w:r w:rsidRPr="00514706">
              <w:t>acetyl-L-carnitine+alpha-lipoic</w:t>
            </w:r>
            <w:proofErr w:type="spellEnd"/>
            <w:r w:rsidRPr="00514706">
              <w:t xml:space="preserve"> acid </w:t>
            </w:r>
          </w:p>
        </w:tc>
        <w:tc>
          <w:tcPr>
            <w:tcW w:w="6823" w:type="dxa"/>
          </w:tcPr>
          <w:p w14:paraId="4E115FD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76" w14:textId="0B978B16" w:rsidTr="00A45976">
        <w:trPr>
          <w:trHeight w:val="300"/>
        </w:trPr>
        <w:tc>
          <w:tcPr>
            <w:tcW w:w="3237" w:type="dxa"/>
            <w:noWrap/>
            <w:hideMark/>
          </w:tcPr>
          <w:p w14:paraId="289BC475" w14:textId="77777777" w:rsidR="00A45976" w:rsidRPr="00514706" w:rsidRDefault="00A45976">
            <w:proofErr w:type="spellStart"/>
            <w:r w:rsidRPr="00514706">
              <w:t>acetylsalicylic</w:t>
            </w:r>
            <w:proofErr w:type="spellEnd"/>
            <w:r w:rsidRPr="00514706">
              <w:t xml:space="preserve"> acid </w:t>
            </w:r>
          </w:p>
        </w:tc>
        <w:tc>
          <w:tcPr>
            <w:tcW w:w="6823" w:type="dxa"/>
          </w:tcPr>
          <w:p w14:paraId="4FBF90C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78" w14:textId="0320F3B7" w:rsidTr="00A45976">
        <w:trPr>
          <w:trHeight w:val="300"/>
        </w:trPr>
        <w:tc>
          <w:tcPr>
            <w:tcW w:w="3237" w:type="dxa"/>
            <w:noWrap/>
            <w:hideMark/>
          </w:tcPr>
          <w:p w14:paraId="289BC477" w14:textId="77777777" w:rsidR="00A45976" w:rsidRPr="00514706" w:rsidRDefault="00A45976">
            <w:proofErr w:type="spellStart"/>
            <w:r w:rsidRPr="00514706">
              <w:t>agomelatin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2325E6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7A" w14:textId="015CE56D" w:rsidTr="00A45976">
        <w:trPr>
          <w:trHeight w:val="300"/>
        </w:trPr>
        <w:tc>
          <w:tcPr>
            <w:tcW w:w="3237" w:type="dxa"/>
            <w:noWrap/>
            <w:hideMark/>
          </w:tcPr>
          <w:p w14:paraId="289BC479" w14:textId="77777777" w:rsidR="00A45976" w:rsidRPr="00514706" w:rsidRDefault="00A45976">
            <w:proofErr w:type="spellStart"/>
            <w:r w:rsidRPr="00514706">
              <w:t>allopurinol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3DA33B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7C" w14:textId="44FE6791" w:rsidTr="00A45976">
        <w:trPr>
          <w:trHeight w:val="300"/>
        </w:trPr>
        <w:tc>
          <w:tcPr>
            <w:tcW w:w="3237" w:type="dxa"/>
            <w:noWrap/>
            <w:hideMark/>
          </w:tcPr>
          <w:p w14:paraId="289BC47B" w14:textId="77777777" w:rsidR="00A45976" w:rsidRPr="00514706" w:rsidRDefault="00A45976">
            <w:proofErr w:type="spellStart"/>
            <w:r w:rsidRPr="00514706">
              <w:t>amitriptyline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ED80F8C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7E" w14:textId="71D960F2" w:rsidTr="00A45976">
        <w:trPr>
          <w:trHeight w:val="300"/>
        </w:trPr>
        <w:tc>
          <w:tcPr>
            <w:tcW w:w="3237" w:type="dxa"/>
            <w:noWrap/>
            <w:hideMark/>
          </w:tcPr>
          <w:p w14:paraId="289BC47D" w14:textId="77777777" w:rsidR="00A45976" w:rsidRPr="00514706" w:rsidRDefault="00A45976">
            <w:proofErr w:type="spellStart"/>
            <w:r w:rsidRPr="00514706">
              <w:t>aripiprazole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B69241E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0" w14:textId="4B9B64A5" w:rsidTr="00A45976">
        <w:trPr>
          <w:trHeight w:val="300"/>
        </w:trPr>
        <w:tc>
          <w:tcPr>
            <w:tcW w:w="3237" w:type="dxa"/>
            <w:noWrap/>
            <w:hideMark/>
          </w:tcPr>
          <w:p w14:paraId="289BC47F" w14:textId="77777777" w:rsidR="00A45976" w:rsidRPr="00514706" w:rsidRDefault="00A45976">
            <w:proofErr w:type="spellStart"/>
            <w:r w:rsidRPr="00514706">
              <w:t>aripiprazole</w:t>
            </w:r>
            <w:proofErr w:type="spellEnd"/>
            <w:r w:rsidRPr="00514706">
              <w:t xml:space="preserve"> LAI </w:t>
            </w:r>
          </w:p>
        </w:tc>
        <w:tc>
          <w:tcPr>
            <w:tcW w:w="6823" w:type="dxa"/>
          </w:tcPr>
          <w:p w14:paraId="2370EE4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2" w14:textId="3E72CA14" w:rsidTr="00A45976">
        <w:trPr>
          <w:trHeight w:val="300"/>
        </w:trPr>
        <w:tc>
          <w:tcPr>
            <w:tcW w:w="3237" w:type="dxa"/>
            <w:noWrap/>
            <w:hideMark/>
          </w:tcPr>
          <w:p w14:paraId="289BC481" w14:textId="77777777" w:rsidR="00A45976" w:rsidRPr="00514706" w:rsidRDefault="00A45976">
            <w:proofErr w:type="spellStart"/>
            <w:r w:rsidRPr="00514706">
              <w:t>aripiprazole+divalproate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4BF2D6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4" w14:textId="453D4426" w:rsidTr="00A45976">
        <w:trPr>
          <w:trHeight w:val="300"/>
        </w:trPr>
        <w:tc>
          <w:tcPr>
            <w:tcW w:w="3237" w:type="dxa"/>
            <w:noWrap/>
            <w:hideMark/>
          </w:tcPr>
          <w:p w14:paraId="289BC483" w14:textId="77777777" w:rsidR="00A45976" w:rsidRPr="00514706" w:rsidRDefault="00A45976">
            <w:proofErr w:type="spellStart"/>
            <w:r w:rsidRPr="00514706">
              <w:t>aripiprazole+lamotrigine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A6C321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6" w14:textId="03CA2606" w:rsidTr="00A45976">
        <w:trPr>
          <w:trHeight w:val="300"/>
        </w:trPr>
        <w:tc>
          <w:tcPr>
            <w:tcW w:w="3237" w:type="dxa"/>
            <w:noWrap/>
            <w:hideMark/>
          </w:tcPr>
          <w:p w14:paraId="289BC485" w14:textId="77777777" w:rsidR="00A45976" w:rsidRPr="00514706" w:rsidRDefault="00A45976">
            <w:proofErr w:type="spellStart"/>
            <w:r w:rsidRPr="00514706">
              <w:t>aripiprazole+lithium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D21783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8" w14:textId="080DAD20" w:rsidTr="00A45976">
        <w:trPr>
          <w:trHeight w:val="300"/>
        </w:trPr>
        <w:tc>
          <w:tcPr>
            <w:tcW w:w="3237" w:type="dxa"/>
            <w:noWrap/>
            <w:hideMark/>
          </w:tcPr>
          <w:p w14:paraId="289BC487" w14:textId="77777777" w:rsidR="00A45976" w:rsidRPr="00514706" w:rsidRDefault="00A45976">
            <w:proofErr w:type="spellStart"/>
            <w:r w:rsidRPr="00514706">
              <w:t>armodafinil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FB761B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A" w14:textId="092B9E91" w:rsidTr="00A45976">
        <w:trPr>
          <w:trHeight w:val="300"/>
        </w:trPr>
        <w:tc>
          <w:tcPr>
            <w:tcW w:w="3237" w:type="dxa"/>
            <w:noWrap/>
            <w:hideMark/>
          </w:tcPr>
          <w:p w14:paraId="289BC489" w14:textId="77777777" w:rsidR="00A45976" w:rsidRPr="00514706" w:rsidRDefault="00A45976">
            <w:proofErr w:type="spellStart"/>
            <w:r w:rsidRPr="00514706">
              <w:t>asenapine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96EDD4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8C" w14:textId="5D2C5E10" w:rsidTr="00A45976">
        <w:trPr>
          <w:trHeight w:val="300"/>
        </w:trPr>
        <w:tc>
          <w:tcPr>
            <w:tcW w:w="3237" w:type="dxa"/>
            <w:noWrap/>
            <w:hideMark/>
          </w:tcPr>
          <w:p w14:paraId="289BC48B" w14:textId="77777777" w:rsidR="00A45976" w:rsidRPr="00514706" w:rsidRDefault="00A45976">
            <w:proofErr w:type="spellStart"/>
            <w:r w:rsidRPr="00514706">
              <w:t>brexpiprazole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A216129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A45976" w14:paraId="289BC48E" w14:textId="3D99111A" w:rsidTr="00A45976">
        <w:trPr>
          <w:trHeight w:val="300"/>
        </w:trPr>
        <w:tc>
          <w:tcPr>
            <w:tcW w:w="3237" w:type="dxa"/>
            <w:noWrap/>
            <w:hideMark/>
          </w:tcPr>
          <w:p w14:paraId="289BC48D" w14:textId="77777777" w:rsidR="00A45976" w:rsidRPr="00514706" w:rsidRDefault="00A45976">
            <w:proofErr w:type="spellStart"/>
            <w:r w:rsidRPr="00206715">
              <w:rPr>
                <w:highlight w:val="yellow"/>
              </w:rPr>
              <w:t>bright</w:t>
            </w:r>
            <w:proofErr w:type="spellEnd"/>
            <w:r w:rsidRPr="00206715">
              <w:rPr>
                <w:highlight w:val="yellow"/>
              </w:rPr>
              <w:t xml:space="preserve"> light therapy</w:t>
            </w:r>
            <w:r w:rsidRPr="00514706">
              <w:t xml:space="preserve"> </w:t>
            </w:r>
          </w:p>
        </w:tc>
        <w:tc>
          <w:tcPr>
            <w:tcW w:w="6823" w:type="dxa"/>
          </w:tcPr>
          <w:p w14:paraId="12A5F063" w14:textId="7B042096" w:rsidR="00A45976" w:rsidRPr="00E121E1" w:rsidRDefault="00A45976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Bright light therapy (BLT), also known as phototherapy, was originally used to treat patients with seasonal affective disorder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refers to the use of glare therapy to treat </w:t>
            </w:r>
            <w:r w:rsidRPr="00E121E1">
              <w:rPr>
                <w:rFonts w:ascii="Times New Roman" w:hAnsi="Times New Roman" w:cs="Times New Roman"/>
                <w:lang w:val="en-US"/>
              </w:rPr>
              <w:t>mood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symptoms</w:t>
            </w:r>
            <w:r w:rsidRPr="00E121E1">
              <w:rPr>
                <w:rFonts w:ascii="Times New Roman" w:hAnsi="Times New Roman" w:cs="Times New Roman"/>
                <w:lang w:val="en-US"/>
              </w:rPr>
              <w:t>.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The International Society of Bipolar Disorders (ISBD) Task Force on Chronobiology and Chronotherapy recommended BLT </w:t>
            </w:r>
            <w:r w:rsidRPr="00E121E1">
              <w:rPr>
                <w:rFonts w:ascii="Times New Roman" w:hAnsi="Times New Roman" w:cs="Times New Roman"/>
                <w:lang w:val="en-US"/>
              </w:rPr>
              <w:t>as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the strongest evidence among current chronotherapeutic options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in the acute treatment of bipolar depression.</w:t>
            </w:r>
          </w:p>
          <w:p w14:paraId="4252740E" w14:textId="77777777" w:rsidR="00A45976" w:rsidRPr="00E121E1" w:rsidRDefault="00A4597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71C5C5A3" w14:textId="62D110B1" w:rsidR="00A45976" w:rsidRPr="00E121E1" w:rsidRDefault="00A45976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Takeshima M,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Utsumi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T, Aoki Y, Wang Z, Suzuki M,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Okajima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I, Watanabe N, Watanabe K,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Takaesu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Y. </w:t>
            </w:r>
            <w:proofErr w:type="gram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Efficacy</w:t>
            </w:r>
            <w:proofErr w:type="gram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and safety of bright light therapy for manic and depressive symptoms in patients with bipolar disorder: A systematic review and meta-analysis.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Psychiatry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Clin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Neurosci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 2020;</w:t>
            </w:r>
            <w:r w:rsid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</w:t>
            </w:r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74(4):247-256.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: 10.1111/pcn.12976.</w:t>
            </w:r>
          </w:p>
          <w:p w14:paraId="57F81C7A" w14:textId="77777777" w:rsidR="00A45976" w:rsidRPr="00E121E1" w:rsidRDefault="00A45976">
            <w:pPr>
              <w:rPr>
                <w:rFonts w:ascii="Times New Roman" w:hAnsi="Times New Roman" w:cs="Times New Roman"/>
                <w:color w:val="212121"/>
                <w:highlight w:val="yellow"/>
                <w:shd w:val="clear" w:color="auto" w:fill="FFFFFF"/>
              </w:rPr>
            </w:pPr>
          </w:p>
          <w:p w14:paraId="60F901FA" w14:textId="64A2815C" w:rsidR="00A45976" w:rsidRPr="00E121E1" w:rsidRDefault="00A45976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Wang S, Zhang Z, Yao L, Ding N, Jiang L, Wu Y. Bright light therapy in the treatment of patients with bipolar disorder: A systematic review and meta-analysis.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PLoS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One. 2020;</w:t>
            </w:r>
            <w:r w:rsid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15(5</w:t>
            </w:r>
            <w:proofErr w:type="gramStart"/>
            <w:r w:rsidRPr="00E121E1">
              <w:rPr>
                <w:rFonts w:ascii="Times New Roman" w:hAnsi="Times New Roman" w:cs="Times New Roman"/>
                <w:lang w:val="en-US"/>
              </w:rPr>
              <w:t>):e</w:t>
            </w:r>
            <w:proofErr w:type="gramEnd"/>
            <w:r w:rsidRPr="00E121E1">
              <w:rPr>
                <w:rFonts w:ascii="Times New Roman" w:hAnsi="Times New Roman" w:cs="Times New Roman"/>
                <w:lang w:val="en-US"/>
              </w:rPr>
              <w:t xml:space="preserve">0232798.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10.1371/journal.pone.0232798.</w:t>
            </w:r>
          </w:p>
          <w:p w14:paraId="311829B1" w14:textId="77777777" w:rsidR="00A45976" w:rsidRPr="00E121E1" w:rsidRDefault="00A4597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3431D68E" w14:textId="29894030" w:rsidR="00A45976" w:rsidRPr="00E121E1" w:rsidRDefault="00A4597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Gottlieb JF, Benedetti F, Geoffroy PA, Henriksen TEG, Lam RW, Murray G, Phelps J, Sit D, Swartz HA, Crowe M,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Etain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B, Frank E, Goel N,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Haarman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BCM,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Inder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M,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Kallestad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H, Jae Kim S,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Martiny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K,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Meesters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Y, Porter R,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Riemersma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-van der Lek RF, Ritter PS, Schulte PFJ, Scott J, Wu JC, Yu X, Chen S. The chronotherapeutic treatment of bipolar disorders: A systematic review and practice recommendations from the ISBD task force on chronotherapy and chronobiology. Bipolar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Disord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. 2019;</w:t>
            </w:r>
            <w:r w:rsid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21(8):741-773.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10.1111/bdi.12847.</w:t>
            </w:r>
          </w:p>
        </w:tc>
      </w:tr>
      <w:tr w:rsidR="00A45976" w:rsidRPr="00514706" w14:paraId="289BC490" w14:textId="7700E3B1" w:rsidTr="00A45976">
        <w:trPr>
          <w:trHeight w:val="300"/>
        </w:trPr>
        <w:tc>
          <w:tcPr>
            <w:tcW w:w="3237" w:type="dxa"/>
            <w:noWrap/>
            <w:hideMark/>
          </w:tcPr>
          <w:p w14:paraId="289BC48F" w14:textId="77777777" w:rsidR="00A45976" w:rsidRPr="00514706" w:rsidRDefault="00A45976">
            <w:proofErr w:type="spellStart"/>
            <w:r w:rsidRPr="00514706">
              <w:t>bupropion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82C02E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92" w14:textId="4B78064C" w:rsidTr="00A45976">
        <w:trPr>
          <w:trHeight w:val="300"/>
        </w:trPr>
        <w:tc>
          <w:tcPr>
            <w:tcW w:w="3237" w:type="dxa"/>
            <w:noWrap/>
            <w:hideMark/>
          </w:tcPr>
          <w:p w14:paraId="289BC491" w14:textId="77777777" w:rsidR="00A45976" w:rsidRPr="00514706" w:rsidRDefault="00A45976">
            <w:proofErr w:type="spellStart"/>
            <w:r w:rsidRPr="00514706">
              <w:t>carbamazapine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6967C3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94" w14:textId="6628CF7A" w:rsidTr="00A45976">
        <w:trPr>
          <w:trHeight w:val="300"/>
        </w:trPr>
        <w:tc>
          <w:tcPr>
            <w:tcW w:w="3237" w:type="dxa"/>
            <w:noWrap/>
            <w:hideMark/>
          </w:tcPr>
          <w:p w14:paraId="289BC493" w14:textId="77777777" w:rsidR="00A45976" w:rsidRPr="00514706" w:rsidRDefault="00A45976">
            <w:r w:rsidRPr="00514706">
              <w:t xml:space="preserve">carbamazepine </w:t>
            </w:r>
          </w:p>
        </w:tc>
        <w:tc>
          <w:tcPr>
            <w:tcW w:w="6823" w:type="dxa"/>
          </w:tcPr>
          <w:p w14:paraId="46AC78A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42001C" w14:paraId="289BC496" w14:textId="619E5A44" w:rsidTr="00A45976">
        <w:trPr>
          <w:trHeight w:val="300"/>
        </w:trPr>
        <w:tc>
          <w:tcPr>
            <w:tcW w:w="3237" w:type="dxa"/>
            <w:noWrap/>
            <w:hideMark/>
          </w:tcPr>
          <w:p w14:paraId="289BC495" w14:textId="77777777" w:rsidR="00A45976" w:rsidRPr="00514706" w:rsidRDefault="00A45976">
            <w:r w:rsidRPr="00206715">
              <w:rPr>
                <w:highlight w:val="yellow"/>
              </w:rPr>
              <w:t xml:space="preserve">carer </w:t>
            </w:r>
            <w:proofErr w:type="spellStart"/>
            <w:r w:rsidRPr="00206715">
              <w:rPr>
                <w:highlight w:val="yellow"/>
              </w:rPr>
              <w:t>focused</w:t>
            </w:r>
            <w:proofErr w:type="spellEnd"/>
            <w:r w:rsidRPr="00206715">
              <w:rPr>
                <w:highlight w:val="yellow"/>
              </w:rPr>
              <w:t xml:space="preserve"> </w:t>
            </w:r>
            <w:proofErr w:type="spellStart"/>
            <w:r w:rsidRPr="00206715">
              <w:rPr>
                <w:highlight w:val="yellow"/>
              </w:rPr>
              <w:t>intervention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A458E3F" w14:textId="5D371EFC" w:rsidR="00A45976" w:rsidRPr="00E121E1" w:rsidRDefault="0042001C">
            <w:pPr>
              <w:rPr>
                <w:rFonts w:ascii="Times New Roman" w:hAnsi="Times New Roman" w:cs="Times New Roman"/>
                <w:color w:val="2E2E2E"/>
                <w:lang w:val="en-US"/>
              </w:rPr>
            </w:pP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>P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sychological interventions </w:t>
            </w:r>
            <w:r w:rsid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that 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>aim to improve the experience of caregiving in bipolar disorder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. 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>Common components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 of these 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>psychoeducational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 interventions</w:t>
            </w:r>
            <w:r w:rsidRPr="00E121E1">
              <w:rPr>
                <w:rFonts w:ascii="Times New Roman" w:hAnsi="Times New Roman" w:cs="Times New Roman"/>
                <w:color w:val="2E2E2E"/>
                <w:lang w:val="en-US"/>
              </w:rPr>
              <w:t xml:space="preserve"> include education about the nature of bipolar disorder, triggers and warning signs, treatment, management, and the impact on and role of caregivers. </w:t>
            </w:r>
          </w:p>
          <w:p w14:paraId="4F5F3DD8" w14:textId="77777777" w:rsidR="0042001C" w:rsidRPr="00E121E1" w:rsidRDefault="0042001C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12F9BF3E" w14:textId="41C55FF0" w:rsidR="0042001C" w:rsidRPr="00E121E1" w:rsidRDefault="0042001C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lastRenderedPageBreak/>
              <w:t xml:space="preserve">Baruch E,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Pistrang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N, Barker C. Psychological interventions for caregivers of people with bipolar disorder: A systematic review and meta-analysis. </w:t>
            </w:r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J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Affect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Disord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 2018;</w:t>
            </w:r>
            <w:r w:rsid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</w:t>
            </w:r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236:187-198. </w:t>
            </w:r>
            <w:proofErr w:type="spellStart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: 10.1016/j.jad.2018.04.077.</w:t>
            </w:r>
            <w:r w:rsidRPr="00E121E1">
              <w:rPr>
                <w:rStyle w:val="apple-converted-space"/>
                <w:rFonts w:ascii="Times New Roman" w:hAnsi="Times New Roman" w:cs="Times New Roman"/>
                <w:color w:val="212121"/>
                <w:shd w:val="clear" w:color="auto" w:fill="FFFFFF"/>
              </w:rPr>
              <w:t> </w:t>
            </w:r>
          </w:p>
        </w:tc>
      </w:tr>
      <w:tr w:rsidR="00A45976" w:rsidRPr="00514706" w14:paraId="289BC498" w14:textId="122A6D84" w:rsidTr="00A45976">
        <w:trPr>
          <w:trHeight w:val="300"/>
        </w:trPr>
        <w:tc>
          <w:tcPr>
            <w:tcW w:w="3237" w:type="dxa"/>
            <w:noWrap/>
            <w:hideMark/>
          </w:tcPr>
          <w:p w14:paraId="289BC497" w14:textId="77777777" w:rsidR="00A45976" w:rsidRPr="00514706" w:rsidRDefault="00A45976">
            <w:proofErr w:type="spellStart"/>
            <w:r w:rsidRPr="00514706">
              <w:lastRenderedPageBreak/>
              <w:t>cariprazine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0B8191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4A0A2E" w14:paraId="289BC49A" w14:textId="31A6C99E" w:rsidTr="00A45976">
        <w:trPr>
          <w:trHeight w:val="300"/>
        </w:trPr>
        <w:tc>
          <w:tcPr>
            <w:tcW w:w="3237" w:type="dxa"/>
            <w:noWrap/>
            <w:hideMark/>
          </w:tcPr>
          <w:p w14:paraId="289BC499" w14:textId="77777777" w:rsidR="00A45976" w:rsidRPr="00206715" w:rsidRDefault="00A45976">
            <w:pPr>
              <w:rPr>
                <w:highlight w:val="yellow"/>
              </w:rPr>
            </w:pPr>
            <w:r w:rsidRPr="00206715">
              <w:rPr>
                <w:highlight w:val="yellow"/>
              </w:rPr>
              <w:t xml:space="preserve">CBT </w:t>
            </w:r>
          </w:p>
        </w:tc>
        <w:tc>
          <w:tcPr>
            <w:tcW w:w="6823" w:type="dxa"/>
          </w:tcPr>
          <w:p w14:paraId="713E834E" w14:textId="1948D25A" w:rsidR="00A45976" w:rsidRPr="00E121E1" w:rsidRDefault="004A0A2E" w:rsidP="004A0A2E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Cognitive Behavioral Therapy (CBT)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is </w:t>
            </w:r>
            <w:r w:rsidRPr="00E121E1">
              <w:rPr>
                <w:rFonts w:ascii="Times New Roman" w:hAnsi="Times New Roman" w:cs="Times New Roman"/>
                <w:lang w:val="en-US"/>
              </w:rPr>
              <w:t>usually given in an individual or group format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aims at </w:t>
            </w:r>
            <w:r w:rsidRPr="00E121E1">
              <w:rPr>
                <w:rFonts w:ascii="Times New Roman" w:hAnsi="Times New Roman" w:cs="Times New Roman"/>
                <w:lang w:val="en-US"/>
              </w:rPr>
              <w:t>modifying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maladaptive thoughts through cognitive restructuring. CBT has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also </w:t>
            </w:r>
            <w:r w:rsidRPr="00E121E1">
              <w:rPr>
                <w:rFonts w:ascii="Times New Roman" w:hAnsi="Times New Roman" w:cs="Times New Roman"/>
                <w:lang w:val="en-US"/>
              </w:rPr>
              <w:t>behavioral components including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interpersonal skills training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E121E1">
              <w:rPr>
                <w:rFonts w:ascii="Times New Roman" w:hAnsi="Times New Roman" w:cs="Times New Roman"/>
                <w:lang w:val="en-US"/>
              </w:rPr>
              <w:t>behavioral activation, or scheduling pleasurable life events to provide social reinforcement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E121E1">
              <w:rPr>
                <w:rFonts w:ascii="Times New Roman" w:hAnsi="Times New Roman" w:cs="Times New Roman"/>
                <w:lang w:val="en-US"/>
              </w:rPr>
              <w:t>problem solving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 xml:space="preserve">and 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“third-wave” components such as mindfulness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E121E1">
              <w:rPr>
                <w:rFonts w:ascii="Times New Roman" w:hAnsi="Times New Roman" w:cs="Times New Roman"/>
                <w:lang w:val="en-US"/>
              </w:rPr>
              <w:t>acceptance, and commitment.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Some CBT programs may have only elements of behavioral or third-wave therapies without cognitive restructuring. </w:t>
            </w:r>
          </w:p>
          <w:p w14:paraId="680E6D05" w14:textId="77777777" w:rsidR="004A0A2E" w:rsidRPr="00E121E1" w:rsidRDefault="004A0A2E" w:rsidP="004A0A2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66917276" w14:textId="0B26E444" w:rsidR="004A0A2E" w:rsidRPr="00E121E1" w:rsidRDefault="00ED1344" w:rsidP="004A0A2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  <w:tr w:rsidR="00A45976" w:rsidRPr="00997733" w14:paraId="289BC49C" w14:textId="74E109D2" w:rsidTr="00A45976">
        <w:trPr>
          <w:trHeight w:val="300"/>
        </w:trPr>
        <w:tc>
          <w:tcPr>
            <w:tcW w:w="3237" w:type="dxa"/>
            <w:noWrap/>
            <w:hideMark/>
          </w:tcPr>
          <w:p w14:paraId="289BC49B" w14:textId="77777777" w:rsidR="00A45976" w:rsidRPr="00514706" w:rsidRDefault="00A45976">
            <w:commentRangeStart w:id="0"/>
            <w:proofErr w:type="spellStart"/>
            <w:r w:rsidRPr="00206715">
              <w:rPr>
                <w:highlight w:val="yellow"/>
              </w:rPr>
              <w:t>CBT+psychoeducation</w:t>
            </w:r>
            <w:proofErr w:type="spellEnd"/>
            <w:r w:rsidRPr="00514706">
              <w:t xml:space="preserve"> </w:t>
            </w:r>
            <w:commentRangeEnd w:id="0"/>
            <w:r w:rsidR="00997733">
              <w:rPr>
                <w:rStyle w:val="Rimandocommento"/>
              </w:rPr>
              <w:commentReference w:id="0"/>
            </w:r>
          </w:p>
        </w:tc>
        <w:tc>
          <w:tcPr>
            <w:tcW w:w="6823" w:type="dxa"/>
          </w:tcPr>
          <w:p w14:paraId="06EEB0DC" w14:textId="77777777" w:rsidR="00A45976" w:rsidRDefault="00997733">
            <w:pPr>
              <w:rPr>
                <w:lang w:val="en-US"/>
              </w:rPr>
            </w:pPr>
            <w:r w:rsidRPr="00997733">
              <w:rPr>
                <w:rFonts w:ascii="Times New Roman" w:hAnsi="Times New Roman" w:cs="Times New Roman"/>
                <w:lang w:val="en-US"/>
              </w:rPr>
              <w:t>Psychosocial intervention for bipolar disorder that</w:t>
            </w:r>
            <w:r w:rsidRPr="00997733">
              <w:rPr>
                <w:lang w:val="en-US"/>
              </w:rPr>
              <w:t xml:space="preserve"> involves CBT techniques plus psychoeducation</w:t>
            </w:r>
            <w:r w:rsidRPr="00997733">
              <w:rPr>
                <w:lang w:val="en-US"/>
              </w:rPr>
              <w:t>.</w:t>
            </w:r>
          </w:p>
          <w:p w14:paraId="38B2E927" w14:textId="77777777" w:rsidR="00997733" w:rsidRDefault="0099773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7842A37D" w14:textId="69DFC84E" w:rsidR="00997733" w:rsidRPr="00997733" w:rsidRDefault="0099773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2021;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  <w:tr w:rsidR="00A45976" w:rsidRPr="00514706" w14:paraId="289BC49E" w14:textId="2F86E953" w:rsidTr="00A45976">
        <w:trPr>
          <w:trHeight w:val="300"/>
        </w:trPr>
        <w:tc>
          <w:tcPr>
            <w:tcW w:w="3237" w:type="dxa"/>
            <w:noWrap/>
            <w:hideMark/>
          </w:tcPr>
          <w:p w14:paraId="289BC49D" w14:textId="77777777" w:rsidR="00A45976" w:rsidRPr="00514706" w:rsidRDefault="00A45976">
            <w:proofErr w:type="spellStart"/>
            <w:r w:rsidRPr="00514706">
              <w:t>celecoxib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5B1D2D1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0" w14:textId="71F18892" w:rsidTr="00A45976">
        <w:trPr>
          <w:trHeight w:val="300"/>
        </w:trPr>
        <w:tc>
          <w:tcPr>
            <w:tcW w:w="3237" w:type="dxa"/>
            <w:noWrap/>
            <w:hideMark/>
          </w:tcPr>
          <w:p w14:paraId="289BC49F" w14:textId="77777777" w:rsidR="00A45976" w:rsidRPr="00514706" w:rsidRDefault="00A45976">
            <w:proofErr w:type="spellStart"/>
            <w:r w:rsidRPr="00514706">
              <w:t>chlorpromazine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A11316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2" w14:textId="60A18A65" w:rsidTr="00A45976">
        <w:trPr>
          <w:trHeight w:val="300"/>
        </w:trPr>
        <w:tc>
          <w:tcPr>
            <w:tcW w:w="3237" w:type="dxa"/>
            <w:noWrap/>
            <w:hideMark/>
          </w:tcPr>
          <w:p w14:paraId="289BC4A1" w14:textId="77777777" w:rsidR="00A45976" w:rsidRPr="00514706" w:rsidRDefault="00A45976">
            <w:proofErr w:type="spellStart"/>
            <w:r w:rsidRPr="00514706">
              <w:t>choline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0472B3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4" w14:textId="3550E339" w:rsidTr="00A45976">
        <w:trPr>
          <w:trHeight w:val="300"/>
        </w:trPr>
        <w:tc>
          <w:tcPr>
            <w:tcW w:w="3237" w:type="dxa"/>
            <w:noWrap/>
            <w:hideMark/>
          </w:tcPr>
          <w:p w14:paraId="289BC4A3" w14:textId="77777777" w:rsidR="00A45976" w:rsidRPr="00514706" w:rsidRDefault="00A45976">
            <w:proofErr w:type="spellStart"/>
            <w:r w:rsidRPr="00514706">
              <w:t>citalopram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B29D52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6" w14:textId="0EE40687" w:rsidTr="00A45976">
        <w:trPr>
          <w:trHeight w:val="300"/>
        </w:trPr>
        <w:tc>
          <w:tcPr>
            <w:tcW w:w="3237" w:type="dxa"/>
            <w:noWrap/>
            <w:hideMark/>
          </w:tcPr>
          <w:p w14:paraId="289BC4A5" w14:textId="77777777" w:rsidR="00A45976" w:rsidRPr="00514706" w:rsidRDefault="00A45976">
            <w:proofErr w:type="spellStart"/>
            <w:r w:rsidRPr="00514706">
              <w:t>clonazepam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CDB212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8" w14:textId="5D9423F8" w:rsidTr="00A45976">
        <w:trPr>
          <w:trHeight w:val="300"/>
        </w:trPr>
        <w:tc>
          <w:tcPr>
            <w:tcW w:w="3237" w:type="dxa"/>
            <w:noWrap/>
            <w:hideMark/>
          </w:tcPr>
          <w:p w14:paraId="289BC4A7" w14:textId="77777777" w:rsidR="00A45976" w:rsidRPr="00514706" w:rsidRDefault="00A45976">
            <w:proofErr w:type="spellStart"/>
            <w:r w:rsidRPr="00514706">
              <w:t>coenzyme</w:t>
            </w:r>
            <w:proofErr w:type="spellEnd"/>
            <w:r w:rsidRPr="00514706">
              <w:t xml:space="preserve"> Q10 </w:t>
            </w:r>
          </w:p>
        </w:tc>
        <w:tc>
          <w:tcPr>
            <w:tcW w:w="6823" w:type="dxa"/>
          </w:tcPr>
          <w:p w14:paraId="1734C78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A" w14:textId="5ED71EC5" w:rsidTr="00A45976">
        <w:trPr>
          <w:trHeight w:val="300"/>
        </w:trPr>
        <w:tc>
          <w:tcPr>
            <w:tcW w:w="3237" w:type="dxa"/>
            <w:noWrap/>
            <w:hideMark/>
          </w:tcPr>
          <w:p w14:paraId="289BC4A9" w14:textId="77777777" w:rsidR="00A45976" w:rsidRPr="00514706" w:rsidRDefault="00A45976">
            <w:r w:rsidRPr="00514706">
              <w:t xml:space="preserve">creatine </w:t>
            </w:r>
          </w:p>
        </w:tc>
        <w:tc>
          <w:tcPr>
            <w:tcW w:w="6823" w:type="dxa"/>
          </w:tcPr>
          <w:p w14:paraId="7DC4432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C" w14:textId="6D513C55" w:rsidTr="00A45976">
        <w:trPr>
          <w:trHeight w:val="300"/>
        </w:trPr>
        <w:tc>
          <w:tcPr>
            <w:tcW w:w="3237" w:type="dxa"/>
            <w:noWrap/>
            <w:hideMark/>
          </w:tcPr>
          <w:p w14:paraId="289BC4AB" w14:textId="77777777" w:rsidR="00A45976" w:rsidRPr="00514706" w:rsidRDefault="00A45976">
            <w:proofErr w:type="spellStart"/>
            <w:r w:rsidRPr="00514706">
              <w:t>desipramine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0846AC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AE" w14:textId="5302709F" w:rsidTr="00A45976">
        <w:trPr>
          <w:trHeight w:val="300"/>
        </w:trPr>
        <w:tc>
          <w:tcPr>
            <w:tcW w:w="3237" w:type="dxa"/>
            <w:noWrap/>
            <w:hideMark/>
          </w:tcPr>
          <w:p w14:paraId="289BC4AD" w14:textId="77777777" w:rsidR="00A45976" w:rsidRPr="00514706" w:rsidRDefault="00A45976">
            <w:proofErr w:type="spellStart"/>
            <w:r w:rsidRPr="00514706">
              <w:t>dextromethorphan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FA77368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0" w14:textId="760328FB" w:rsidTr="00A45976">
        <w:trPr>
          <w:trHeight w:val="300"/>
        </w:trPr>
        <w:tc>
          <w:tcPr>
            <w:tcW w:w="3237" w:type="dxa"/>
            <w:noWrap/>
            <w:hideMark/>
          </w:tcPr>
          <w:p w14:paraId="289BC4AF" w14:textId="77777777" w:rsidR="00A45976" w:rsidRPr="00514706" w:rsidRDefault="00A45976"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2481AF8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2" w14:textId="533F8A9D" w:rsidTr="00A45976">
        <w:trPr>
          <w:trHeight w:val="300"/>
        </w:trPr>
        <w:tc>
          <w:tcPr>
            <w:tcW w:w="3237" w:type="dxa"/>
            <w:noWrap/>
            <w:hideMark/>
          </w:tcPr>
          <w:p w14:paraId="289BC4B1" w14:textId="77777777" w:rsidR="00A45976" w:rsidRPr="00514706" w:rsidRDefault="00A45976">
            <w:r w:rsidRPr="00514706">
              <w:t xml:space="preserve">ECT </w:t>
            </w:r>
          </w:p>
        </w:tc>
        <w:tc>
          <w:tcPr>
            <w:tcW w:w="6823" w:type="dxa"/>
          </w:tcPr>
          <w:p w14:paraId="47B57FE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4" w14:textId="18F7A239" w:rsidTr="00A45976">
        <w:trPr>
          <w:trHeight w:val="300"/>
        </w:trPr>
        <w:tc>
          <w:tcPr>
            <w:tcW w:w="3237" w:type="dxa"/>
            <w:noWrap/>
            <w:hideMark/>
          </w:tcPr>
          <w:p w14:paraId="289BC4B3" w14:textId="77777777" w:rsidR="00A45976" w:rsidRPr="00514706" w:rsidRDefault="00A45976">
            <w:proofErr w:type="spellStart"/>
            <w:r w:rsidRPr="00514706">
              <w:t>endoxifen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F17231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6" w14:textId="65AB41DD" w:rsidTr="00A45976">
        <w:trPr>
          <w:trHeight w:val="300"/>
        </w:trPr>
        <w:tc>
          <w:tcPr>
            <w:tcW w:w="3237" w:type="dxa"/>
            <w:noWrap/>
            <w:hideMark/>
          </w:tcPr>
          <w:p w14:paraId="289BC4B5" w14:textId="77777777" w:rsidR="00A45976" w:rsidRPr="00514706" w:rsidRDefault="00A45976">
            <w:proofErr w:type="spellStart"/>
            <w:r w:rsidRPr="00514706">
              <w:t>erythropoietin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60AA0C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8" w14:textId="10C82A20" w:rsidTr="00A45976">
        <w:trPr>
          <w:trHeight w:val="300"/>
        </w:trPr>
        <w:tc>
          <w:tcPr>
            <w:tcW w:w="3237" w:type="dxa"/>
            <w:noWrap/>
            <w:hideMark/>
          </w:tcPr>
          <w:p w14:paraId="289BC4B7" w14:textId="77777777" w:rsidR="00A45976" w:rsidRPr="00514706" w:rsidRDefault="00A45976">
            <w:proofErr w:type="spellStart"/>
            <w:r w:rsidRPr="00514706">
              <w:t>escitalopram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A04CA1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BA" w14:textId="54C9C499" w:rsidTr="00A45976">
        <w:trPr>
          <w:trHeight w:val="300"/>
        </w:trPr>
        <w:tc>
          <w:tcPr>
            <w:tcW w:w="3237" w:type="dxa"/>
            <w:noWrap/>
            <w:hideMark/>
          </w:tcPr>
          <w:p w14:paraId="289BC4B9" w14:textId="77777777" w:rsidR="00A45976" w:rsidRPr="00514706" w:rsidRDefault="00A45976">
            <w:proofErr w:type="spellStart"/>
            <w:r w:rsidRPr="00514706">
              <w:t>eslicarbazepine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B87FF2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206715" w14:paraId="289BC4BC" w14:textId="0B54E972" w:rsidTr="00A45976">
        <w:trPr>
          <w:trHeight w:val="300"/>
        </w:trPr>
        <w:tc>
          <w:tcPr>
            <w:tcW w:w="3237" w:type="dxa"/>
            <w:noWrap/>
            <w:hideMark/>
          </w:tcPr>
          <w:p w14:paraId="289BC4BB" w14:textId="77777777" w:rsidR="00A45976" w:rsidRPr="00206715" w:rsidRDefault="00A45976">
            <w:pPr>
              <w:rPr>
                <w:highlight w:val="yellow"/>
              </w:rPr>
            </w:pPr>
            <w:r w:rsidRPr="00206715">
              <w:rPr>
                <w:highlight w:val="yellow"/>
              </w:rPr>
              <w:t xml:space="preserve">family </w:t>
            </w:r>
            <w:proofErr w:type="spellStart"/>
            <w:r w:rsidRPr="00206715">
              <w:rPr>
                <w:highlight w:val="yellow"/>
              </w:rPr>
              <w:t>focused</w:t>
            </w:r>
            <w:proofErr w:type="spellEnd"/>
            <w:r w:rsidRPr="00206715">
              <w:rPr>
                <w:highlight w:val="yellow"/>
              </w:rPr>
              <w:t xml:space="preserve"> therapy </w:t>
            </w:r>
          </w:p>
        </w:tc>
        <w:tc>
          <w:tcPr>
            <w:tcW w:w="6823" w:type="dxa"/>
          </w:tcPr>
          <w:p w14:paraId="2E9DCD39" w14:textId="773988CD" w:rsidR="00A45976" w:rsidRPr="00E121E1" w:rsidRDefault="00824404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Family-focused therapy (FFT) is an evidence-based intervention for adults and children with bipolar disorder and their caregivers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E121E1">
              <w:rPr>
                <w:rFonts w:ascii="Times New Roman" w:hAnsi="Times New Roman" w:cs="Times New Roman"/>
                <w:lang w:val="en-US"/>
              </w:rPr>
              <w:t>parents, spouse, or extended relatives</w:t>
            </w:r>
            <w:r w:rsidRPr="00E121E1">
              <w:rPr>
                <w:rFonts w:ascii="Times New Roman" w:hAnsi="Times New Roman" w:cs="Times New Roman"/>
                <w:lang w:val="en-US"/>
              </w:rPr>
              <w:t>)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usually given in conjunction with pharmacotherapy. Programs involve conjoint sessions of psychoeducation regarding bipolar </w:t>
            </w:r>
            <w:r w:rsidR="001E12DA">
              <w:rPr>
                <w:rFonts w:ascii="Times New Roman" w:hAnsi="Times New Roman" w:cs="Times New Roman"/>
                <w:lang w:val="en-US"/>
              </w:rPr>
              <w:t>disorder</w:t>
            </w:r>
            <w:r w:rsidRPr="00E121E1">
              <w:rPr>
                <w:rFonts w:ascii="Times New Roman" w:hAnsi="Times New Roman" w:cs="Times New Roman"/>
                <w:lang w:val="en-US"/>
              </w:rPr>
              <w:t>, communication enhancement training, and problem-solving skills training.</w:t>
            </w:r>
          </w:p>
          <w:p w14:paraId="289FBC55" w14:textId="77777777" w:rsidR="00ED1344" w:rsidRPr="00E121E1" w:rsidRDefault="00ED1344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5270B23F" w14:textId="47ACF9CB" w:rsidR="00ED1344" w:rsidRPr="00E121E1" w:rsidRDefault="00BD390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Chung B. Family-Focused Therapy for Bipolar Disorder: Reflections on 30 Years of Research. Fam Process. 2016;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55(3):483-99.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10.1111/famp.12237.</w:t>
            </w:r>
          </w:p>
          <w:p w14:paraId="7A633FB9" w14:textId="77777777" w:rsidR="00BD3900" w:rsidRPr="00E121E1" w:rsidRDefault="00BD390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538C5F34" w14:textId="327FA6C3" w:rsidR="00ED1344" w:rsidRPr="00E121E1" w:rsidRDefault="00ED134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</w:t>
            </w:r>
            <w:r w:rsidRPr="00E121E1">
              <w:rPr>
                <w:rFonts w:ascii="Times New Roman" w:hAnsi="Times New Roman" w:cs="Times New Roman"/>
                <w:lang w:val="en-US"/>
              </w:rPr>
              <w:lastRenderedPageBreak/>
              <w:t xml:space="preserve">Systematic Review and Component Network Meta-analysis. </w:t>
            </w:r>
            <w:r w:rsidRPr="00E121E1">
              <w:rPr>
                <w:rFonts w:ascii="Times New Roman" w:hAnsi="Times New Roman" w:cs="Times New Roman"/>
              </w:rPr>
              <w:t xml:space="preserve">JAMA </w:t>
            </w:r>
            <w:proofErr w:type="spellStart"/>
            <w:r w:rsidRPr="00E121E1">
              <w:rPr>
                <w:rFonts w:ascii="Times New Roman" w:hAnsi="Times New Roman" w:cs="Times New Roman"/>
              </w:rPr>
              <w:t>Psychiatry</w:t>
            </w:r>
            <w:proofErr w:type="spellEnd"/>
            <w:r w:rsidRPr="00E121E1">
              <w:rPr>
                <w:rFonts w:ascii="Times New Roman" w:hAnsi="Times New Roman" w:cs="Times New Roman"/>
              </w:rPr>
              <w:t>. 2021;</w:t>
            </w:r>
            <w:r w:rsidR="001E12DA">
              <w:rPr>
                <w:rFonts w:ascii="Times New Roman" w:hAnsi="Times New Roman" w:cs="Times New Roman"/>
              </w:rPr>
              <w:t xml:space="preserve"> </w:t>
            </w:r>
            <w:r w:rsidRPr="00E121E1">
              <w:rPr>
                <w:rFonts w:ascii="Times New Roman" w:hAnsi="Times New Roman" w:cs="Times New Roman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</w:rPr>
              <w:t>: 10.1001/jamapsychiatry.2020.2993.</w:t>
            </w:r>
          </w:p>
        </w:tc>
      </w:tr>
      <w:tr w:rsidR="00A45976" w:rsidRPr="00F03273" w14:paraId="289BC4BE" w14:textId="4B2D2ED9" w:rsidTr="00A45976">
        <w:trPr>
          <w:trHeight w:val="300"/>
        </w:trPr>
        <w:tc>
          <w:tcPr>
            <w:tcW w:w="3237" w:type="dxa"/>
            <w:noWrap/>
            <w:hideMark/>
          </w:tcPr>
          <w:p w14:paraId="289BC4BD" w14:textId="77777777" w:rsidR="00A45976" w:rsidRPr="00514706" w:rsidRDefault="00A45976">
            <w:r w:rsidRPr="00206715">
              <w:rPr>
                <w:highlight w:val="yellow"/>
              </w:rPr>
              <w:lastRenderedPageBreak/>
              <w:t>family/</w:t>
            </w:r>
            <w:proofErr w:type="spellStart"/>
            <w:r w:rsidRPr="00206715">
              <w:rPr>
                <w:highlight w:val="yellow"/>
              </w:rPr>
              <w:t>conjoint</w:t>
            </w:r>
            <w:proofErr w:type="spellEnd"/>
            <w:r w:rsidRPr="00206715">
              <w:rPr>
                <w:highlight w:val="yellow"/>
              </w:rPr>
              <w:t xml:space="preserve"> therapy</w:t>
            </w:r>
            <w:r w:rsidRPr="00514706">
              <w:t xml:space="preserve"> </w:t>
            </w:r>
          </w:p>
        </w:tc>
        <w:tc>
          <w:tcPr>
            <w:tcW w:w="6823" w:type="dxa"/>
          </w:tcPr>
          <w:p w14:paraId="1D74074F" w14:textId="527DF4DD" w:rsidR="00A45976" w:rsidRPr="00E121E1" w:rsidRDefault="00824404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Common elements of these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programmes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are the involvement of the family, psychoeducation, and skills training.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3273" w:rsidRPr="00E121E1">
              <w:rPr>
                <w:rFonts w:ascii="Times New Roman" w:hAnsi="Times New Roman" w:cs="Times New Roman"/>
                <w:lang w:val="en-US"/>
              </w:rPr>
              <w:t>Family/conjoint therapy may be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also</w:t>
            </w:r>
            <w:r w:rsidR="00F03273" w:rsidRPr="00E121E1">
              <w:rPr>
                <w:rFonts w:ascii="Times New Roman" w:hAnsi="Times New Roman" w:cs="Times New Roman"/>
                <w:lang w:val="en-US"/>
              </w:rPr>
              <w:t xml:space="preserve"> labeled as family-focused psychoeducation, family-focused therapy, inpatient family intervention, behavioral family management, psychoeducational marital therapy, multifamily group psychoeducation, caregiver-focused psychoeducation, or conjoint psychoeducation. </w:t>
            </w:r>
          </w:p>
          <w:p w14:paraId="1C92906F" w14:textId="77777777" w:rsidR="00F03273" w:rsidRPr="00E121E1" w:rsidRDefault="00F0327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1F6B1652" w14:textId="74F7B46C" w:rsidR="00F03273" w:rsidRPr="00E121E1" w:rsidRDefault="00F0327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</w:t>
            </w:r>
            <w:r w:rsidRPr="00E121E1">
              <w:rPr>
                <w:rFonts w:ascii="Times New Roman" w:hAnsi="Times New Roman" w:cs="Times New Roman"/>
              </w:rPr>
              <w:t xml:space="preserve">JAMA </w:t>
            </w:r>
            <w:proofErr w:type="spellStart"/>
            <w:r w:rsidRPr="00E121E1">
              <w:rPr>
                <w:rFonts w:ascii="Times New Roman" w:hAnsi="Times New Roman" w:cs="Times New Roman"/>
              </w:rPr>
              <w:t>Psychiatry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. 2021 </w:t>
            </w:r>
            <w:proofErr w:type="spellStart"/>
            <w:r w:rsidRPr="00E121E1">
              <w:rPr>
                <w:rFonts w:ascii="Times New Roman" w:hAnsi="Times New Roman" w:cs="Times New Roman"/>
              </w:rPr>
              <w:t>Feb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 1;78(2):141-150. </w:t>
            </w:r>
            <w:proofErr w:type="spellStart"/>
            <w:r w:rsidRPr="00E121E1">
              <w:rPr>
                <w:rFonts w:ascii="Times New Roman" w:hAnsi="Times New Roman" w:cs="Times New Roman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</w:rPr>
              <w:t>: 10.1001/jamapsychiatry.2020.2993.</w:t>
            </w:r>
          </w:p>
        </w:tc>
      </w:tr>
      <w:tr w:rsidR="00A45976" w:rsidRPr="00514706" w14:paraId="289BC4C0" w14:textId="6A44194F" w:rsidTr="00A45976">
        <w:trPr>
          <w:trHeight w:val="300"/>
        </w:trPr>
        <w:tc>
          <w:tcPr>
            <w:tcW w:w="3237" w:type="dxa"/>
            <w:noWrap/>
            <w:hideMark/>
          </w:tcPr>
          <w:p w14:paraId="289BC4BF" w14:textId="77777777" w:rsidR="00A45976" w:rsidRPr="00514706" w:rsidRDefault="00A45976">
            <w:r w:rsidRPr="00514706">
              <w:t xml:space="preserve">fluoxetine </w:t>
            </w:r>
          </w:p>
        </w:tc>
        <w:tc>
          <w:tcPr>
            <w:tcW w:w="6823" w:type="dxa"/>
          </w:tcPr>
          <w:p w14:paraId="518BDD8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2" w14:textId="7DBDE76B" w:rsidTr="00A45976">
        <w:trPr>
          <w:trHeight w:val="300"/>
        </w:trPr>
        <w:tc>
          <w:tcPr>
            <w:tcW w:w="3237" w:type="dxa"/>
            <w:noWrap/>
            <w:hideMark/>
          </w:tcPr>
          <w:p w14:paraId="289BC4C1" w14:textId="77777777" w:rsidR="00A45976" w:rsidRPr="00514706" w:rsidRDefault="00A45976">
            <w:proofErr w:type="spellStart"/>
            <w:r w:rsidRPr="00514706">
              <w:t>flupentixol+lithium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963E53C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4" w14:textId="085E2842" w:rsidTr="00A45976">
        <w:trPr>
          <w:trHeight w:val="300"/>
        </w:trPr>
        <w:tc>
          <w:tcPr>
            <w:tcW w:w="3237" w:type="dxa"/>
            <w:noWrap/>
            <w:hideMark/>
          </w:tcPr>
          <w:p w14:paraId="289BC4C3" w14:textId="77777777" w:rsidR="00A45976" w:rsidRPr="00514706" w:rsidRDefault="00A45976">
            <w:proofErr w:type="spellStart"/>
            <w:r w:rsidRPr="00514706">
              <w:t>folic</w:t>
            </w:r>
            <w:proofErr w:type="spellEnd"/>
            <w:r w:rsidRPr="00514706">
              <w:t xml:space="preserve"> acid </w:t>
            </w:r>
          </w:p>
        </w:tc>
        <w:tc>
          <w:tcPr>
            <w:tcW w:w="6823" w:type="dxa"/>
          </w:tcPr>
          <w:p w14:paraId="1F3B306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6" w14:textId="3CBC1996" w:rsidTr="00A45976">
        <w:trPr>
          <w:trHeight w:val="300"/>
        </w:trPr>
        <w:tc>
          <w:tcPr>
            <w:tcW w:w="3237" w:type="dxa"/>
            <w:noWrap/>
            <w:hideMark/>
          </w:tcPr>
          <w:p w14:paraId="289BC4C5" w14:textId="77777777" w:rsidR="00A45976" w:rsidRPr="00514706" w:rsidRDefault="00A45976">
            <w:proofErr w:type="spellStart"/>
            <w:r w:rsidRPr="00514706">
              <w:t>functional</w:t>
            </w:r>
            <w:proofErr w:type="spellEnd"/>
            <w:r w:rsidRPr="00514706">
              <w:t xml:space="preserve"> </w:t>
            </w:r>
            <w:proofErr w:type="spellStart"/>
            <w:r w:rsidRPr="00514706">
              <w:t>remediation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72E5E3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8" w14:textId="68E246B0" w:rsidTr="00A45976">
        <w:trPr>
          <w:trHeight w:val="300"/>
        </w:trPr>
        <w:tc>
          <w:tcPr>
            <w:tcW w:w="3237" w:type="dxa"/>
            <w:noWrap/>
            <w:hideMark/>
          </w:tcPr>
          <w:p w14:paraId="289BC4C7" w14:textId="77777777" w:rsidR="00A45976" w:rsidRPr="00514706" w:rsidRDefault="00A45976">
            <w:r w:rsidRPr="00514706">
              <w:t xml:space="preserve">gabapentin </w:t>
            </w:r>
          </w:p>
        </w:tc>
        <w:tc>
          <w:tcPr>
            <w:tcW w:w="6823" w:type="dxa"/>
          </w:tcPr>
          <w:p w14:paraId="4BBEC9C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A" w14:textId="71505440" w:rsidTr="00A45976">
        <w:trPr>
          <w:trHeight w:val="300"/>
        </w:trPr>
        <w:tc>
          <w:tcPr>
            <w:tcW w:w="3237" w:type="dxa"/>
            <w:noWrap/>
            <w:hideMark/>
          </w:tcPr>
          <w:p w14:paraId="289BC4C9" w14:textId="77777777" w:rsidR="00A45976" w:rsidRPr="00514706" w:rsidRDefault="00A45976">
            <w:proofErr w:type="spellStart"/>
            <w:r w:rsidRPr="00514706">
              <w:t>galantamine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1BCFD7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C" w14:textId="3A55369E" w:rsidTr="00A45976">
        <w:trPr>
          <w:trHeight w:val="300"/>
        </w:trPr>
        <w:tc>
          <w:tcPr>
            <w:tcW w:w="3237" w:type="dxa"/>
            <w:noWrap/>
            <w:hideMark/>
          </w:tcPr>
          <w:p w14:paraId="289BC4CB" w14:textId="77777777" w:rsidR="00A45976" w:rsidRPr="00514706" w:rsidRDefault="00A45976">
            <w:proofErr w:type="spellStart"/>
            <w:r w:rsidRPr="00514706">
              <w:t>haloperidol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21D2A8E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CE" w14:textId="63F67DA6" w:rsidTr="00A45976">
        <w:trPr>
          <w:trHeight w:val="300"/>
        </w:trPr>
        <w:tc>
          <w:tcPr>
            <w:tcW w:w="3237" w:type="dxa"/>
            <w:noWrap/>
            <w:hideMark/>
          </w:tcPr>
          <w:p w14:paraId="289BC4CD" w14:textId="77777777" w:rsidR="00A45976" w:rsidRPr="00514706" w:rsidRDefault="00A45976">
            <w:proofErr w:type="spellStart"/>
            <w:r w:rsidRPr="00514706">
              <w:t>haloperidol+lithium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23F311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0" w14:textId="4D4ABC0F" w:rsidTr="00A45976">
        <w:trPr>
          <w:trHeight w:val="300"/>
        </w:trPr>
        <w:tc>
          <w:tcPr>
            <w:tcW w:w="3237" w:type="dxa"/>
            <w:noWrap/>
            <w:hideMark/>
          </w:tcPr>
          <w:p w14:paraId="289BC4CF" w14:textId="77777777" w:rsidR="00A45976" w:rsidRPr="00514706" w:rsidRDefault="00A45976">
            <w:proofErr w:type="spellStart"/>
            <w:r w:rsidRPr="00514706">
              <w:t>imipramine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71D659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2" w14:textId="4DCF300A" w:rsidTr="00A45976">
        <w:trPr>
          <w:trHeight w:val="300"/>
        </w:trPr>
        <w:tc>
          <w:tcPr>
            <w:tcW w:w="3237" w:type="dxa"/>
            <w:noWrap/>
            <w:hideMark/>
          </w:tcPr>
          <w:p w14:paraId="289BC4D1" w14:textId="77777777" w:rsidR="00A45976" w:rsidRPr="00514706" w:rsidRDefault="00A45976">
            <w:r w:rsidRPr="00514706">
              <w:t xml:space="preserve">infliximab </w:t>
            </w:r>
          </w:p>
        </w:tc>
        <w:tc>
          <w:tcPr>
            <w:tcW w:w="6823" w:type="dxa"/>
          </w:tcPr>
          <w:p w14:paraId="2072D5D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4" w14:textId="7082434A" w:rsidTr="00A45976">
        <w:trPr>
          <w:trHeight w:val="300"/>
        </w:trPr>
        <w:tc>
          <w:tcPr>
            <w:tcW w:w="3237" w:type="dxa"/>
            <w:noWrap/>
            <w:hideMark/>
          </w:tcPr>
          <w:p w14:paraId="289BC4D3" w14:textId="77777777" w:rsidR="00A45976" w:rsidRPr="00514706" w:rsidRDefault="00A45976">
            <w:proofErr w:type="spellStart"/>
            <w:r w:rsidRPr="00514706">
              <w:t>inositol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05C51D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6" w14:textId="00BC6493" w:rsidTr="00A45976">
        <w:trPr>
          <w:trHeight w:val="300"/>
        </w:trPr>
        <w:tc>
          <w:tcPr>
            <w:tcW w:w="3237" w:type="dxa"/>
            <w:noWrap/>
            <w:hideMark/>
          </w:tcPr>
          <w:p w14:paraId="289BC4D5" w14:textId="77777777" w:rsidR="00A45976" w:rsidRPr="00514706" w:rsidRDefault="00A45976">
            <w:proofErr w:type="spellStart"/>
            <w:r w:rsidRPr="00514706">
              <w:t>insulin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66B091C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8" w14:textId="6349495E" w:rsidTr="00A45976">
        <w:trPr>
          <w:trHeight w:val="300"/>
        </w:trPr>
        <w:tc>
          <w:tcPr>
            <w:tcW w:w="3237" w:type="dxa"/>
            <w:noWrap/>
            <w:hideMark/>
          </w:tcPr>
          <w:p w14:paraId="289BC4D7" w14:textId="77777777" w:rsidR="00A45976" w:rsidRPr="00514706" w:rsidRDefault="00A45976">
            <w:r w:rsidRPr="00514706">
              <w:t xml:space="preserve">IPSRT </w:t>
            </w:r>
          </w:p>
        </w:tc>
        <w:tc>
          <w:tcPr>
            <w:tcW w:w="6823" w:type="dxa"/>
          </w:tcPr>
          <w:p w14:paraId="0D908A6C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A" w14:textId="7D1AFA97" w:rsidTr="00A45976">
        <w:trPr>
          <w:trHeight w:val="300"/>
        </w:trPr>
        <w:tc>
          <w:tcPr>
            <w:tcW w:w="3237" w:type="dxa"/>
            <w:noWrap/>
            <w:hideMark/>
          </w:tcPr>
          <w:p w14:paraId="289BC4D9" w14:textId="77777777" w:rsidR="00A45976" w:rsidRPr="00514706" w:rsidRDefault="00A45976">
            <w:proofErr w:type="spellStart"/>
            <w:r w:rsidRPr="00514706">
              <w:t>ketamine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F0C7D4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C" w14:textId="6D2DC69B" w:rsidTr="00A45976">
        <w:trPr>
          <w:trHeight w:val="300"/>
        </w:trPr>
        <w:tc>
          <w:tcPr>
            <w:tcW w:w="3237" w:type="dxa"/>
            <w:noWrap/>
            <w:hideMark/>
          </w:tcPr>
          <w:p w14:paraId="289BC4DB" w14:textId="77777777" w:rsidR="00A45976" w:rsidRPr="00514706" w:rsidRDefault="00A45976">
            <w:proofErr w:type="spellStart"/>
            <w:r w:rsidRPr="00514706">
              <w:t>lamotrigine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02917A8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DE" w14:textId="137D3883" w:rsidTr="00A45976">
        <w:trPr>
          <w:trHeight w:val="300"/>
        </w:trPr>
        <w:tc>
          <w:tcPr>
            <w:tcW w:w="3237" w:type="dxa"/>
            <w:noWrap/>
            <w:hideMark/>
          </w:tcPr>
          <w:p w14:paraId="289BC4DD" w14:textId="77777777" w:rsidR="00A45976" w:rsidRPr="00514706" w:rsidRDefault="00A45976">
            <w:proofErr w:type="spellStart"/>
            <w:r w:rsidRPr="00514706">
              <w:t>lamotrigine+divalproate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5EDC11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0" w14:textId="4D14B451" w:rsidTr="00A45976">
        <w:trPr>
          <w:trHeight w:val="300"/>
        </w:trPr>
        <w:tc>
          <w:tcPr>
            <w:tcW w:w="3237" w:type="dxa"/>
            <w:noWrap/>
            <w:hideMark/>
          </w:tcPr>
          <w:p w14:paraId="289BC4DF" w14:textId="77777777" w:rsidR="00A45976" w:rsidRPr="00514706" w:rsidRDefault="00A45976">
            <w:proofErr w:type="spellStart"/>
            <w:r w:rsidRPr="00514706">
              <w:t>levetiracetam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E566D08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2" w14:textId="44A18B12" w:rsidTr="00A45976">
        <w:trPr>
          <w:trHeight w:val="300"/>
        </w:trPr>
        <w:tc>
          <w:tcPr>
            <w:tcW w:w="3237" w:type="dxa"/>
            <w:noWrap/>
            <w:hideMark/>
          </w:tcPr>
          <w:p w14:paraId="289BC4E1" w14:textId="77777777" w:rsidR="00A45976" w:rsidRPr="00514706" w:rsidRDefault="00A45976">
            <w:proofErr w:type="spellStart"/>
            <w:r w:rsidRPr="00514706">
              <w:t>licarbazepine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461101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4" w14:textId="1AB371C4" w:rsidTr="00A45976">
        <w:trPr>
          <w:trHeight w:val="300"/>
        </w:trPr>
        <w:tc>
          <w:tcPr>
            <w:tcW w:w="3237" w:type="dxa"/>
            <w:noWrap/>
            <w:hideMark/>
          </w:tcPr>
          <w:p w14:paraId="289BC4E3" w14:textId="77777777" w:rsidR="00A45976" w:rsidRPr="00514706" w:rsidRDefault="00A45976">
            <w:proofErr w:type="spellStart"/>
            <w:r w:rsidRPr="00514706">
              <w:t>lisdexamfetamine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120282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6" w14:textId="79B0F944" w:rsidTr="00A45976">
        <w:trPr>
          <w:trHeight w:val="300"/>
        </w:trPr>
        <w:tc>
          <w:tcPr>
            <w:tcW w:w="3237" w:type="dxa"/>
            <w:noWrap/>
            <w:hideMark/>
          </w:tcPr>
          <w:p w14:paraId="289BC4E5" w14:textId="77777777" w:rsidR="00A45976" w:rsidRPr="00514706" w:rsidRDefault="00A45976">
            <w:proofErr w:type="spellStart"/>
            <w:r w:rsidRPr="00514706">
              <w:t>lithium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557A03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8" w14:textId="5DAA10DB" w:rsidTr="00A45976">
        <w:trPr>
          <w:trHeight w:val="300"/>
        </w:trPr>
        <w:tc>
          <w:tcPr>
            <w:tcW w:w="3237" w:type="dxa"/>
            <w:noWrap/>
            <w:hideMark/>
          </w:tcPr>
          <w:p w14:paraId="289BC4E7" w14:textId="77777777" w:rsidR="00A45976" w:rsidRPr="00514706" w:rsidRDefault="00A45976">
            <w:proofErr w:type="spellStart"/>
            <w:r w:rsidRPr="00514706">
              <w:t>lithium+divalproate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055883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A" w14:textId="4C57539D" w:rsidTr="00A45976">
        <w:trPr>
          <w:trHeight w:val="300"/>
        </w:trPr>
        <w:tc>
          <w:tcPr>
            <w:tcW w:w="3237" w:type="dxa"/>
            <w:noWrap/>
            <w:hideMark/>
          </w:tcPr>
          <w:p w14:paraId="289BC4E9" w14:textId="77777777" w:rsidR="00A45976" w:rsidRPr="00514706" w:rsidRDefault="00A45976">
            <w:proofErr w:type="spellStart"/>
            <w:r w:rsidRPr="00514706">
              <w:t>lithium+imipramine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D2F794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C" w14:textId="314BE744" w:rsidTr="00A45976">
        <w:trPr>
          <w:trHeight w:val="300"/>
        </w:trPr>
        <w:tc>
          <w:tcPr>
            <w:tcW w:w="3237" w:type="dxa"/>
            <w:noWrap/>
            <w:hideMark/>
          </w:tcPr>
          <w:p w14:paraId="289BC4EB" w14:textId="77777777" w:rsidR="00A45976" w:rsidRPr="00514706" w:rsidRDefault="00A45976">
            <w:proofErr w:type="spellStart"/>
            <w:r w:rsidRPr="00514706">
              <w:t>lithium+oxcarbazepine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7F3F31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EE" w14:textId="74C0CB6F" w:rsidTr="00A45976">
        <w:trPr>
          <w:trHeight w:val="300"/>
        </w:trPr>
        <w:tc>
          <w:tcPr>
            <w:tcW w:w="3237" w:type="dxa"/>
            <w:noWrap/>
            <w:hideMark/>
          </w:tcPr>
          <w:p w14:paraId="289BC4ED" w14:textId="77777777" w:rsidR="00A45976" w:rsidRPr="00514706" w:rsidRDefault="00A45976">
            <w:r w:rsidRPr="00514706">
              <w:t>l-</w:t>
            </w:r>
            <w:proofErr w:type="spellStart"/>
            <w:r w:rsidRPr="00514706">
              <w:t>sulpride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3494F9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0" w14:textId="4E8048A0" w:rsidTr="00A45976">
        <w:trPr>
          <w:trHeight w:val="300"/>
        </w:trPr>
        <w:tc>
          <w:tcPr>
            <w:tcW w:w="3237" w:type="dxa"/>
            <w:noWrap/>
            <w:hideMark/>
          </w:tcPr>
          <w:p w14:paraId="289BC4EF" w14:textId="77777777" w:rsidR="00A45976" w:rsidRPr="00514706" w:rsidRDefault="00A45976">
            <w:proofErr w:type="spellStart"/>
            <w:r w:rsidRPr="00514706">
              <w:t>lurasidone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A6EEF01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2" w14:textId="7CD3BAC6" w:rsidTr="00A45976">
        <w:trPr>
          <w:trHeight w:val="300"/>
        </w:trPr>
        <w:tc>
          <w:tcPr>
            <w:tcW w:w="3237" w:type="dxa"/>
            <w:noWrap/>
            <w:hideMark/>
          </w:tcPr>
          <w:p w14:paraId="289BC4F1" w14:textId="77777777" w:rsidR="00A45976" w:rsidRPr="00514706" w:rsidRDefault="00A45976">
            <w:proofErr w:type="spellStart"/>
            <w:r w:rsidRPr="00514706">
              <w:t>lurasidone+lithium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1B12DB9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4" w14:textId="6533EC58" w:rsidTr="00A45976">
        <w:trPr>
          <w:trHeight w:val="300"/>
        </w:trPr>
        <w:tc>
          <w:tcPr>
            <w:tcW w:w="3237" w:type="dxa"/>
            <w:noWrap/>
            <w:hideMark/>
          </w:tcPr>
          <w:p w14:paraId="289BC4F3" w14:textId="77777777" w:rsidR="00A45976" w:rsidRPr="00514706" w:rsidRDefault="00A45976">
            <w:proofErr w:type="spellStart"/>
            <w:r w:rsidRPr="00514706">
              <w:t>melatonin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3FED98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6" w14:textId="32EB65DC" w:rsidTr="00A45976">
        <w:trPr>
          <w:trHeight w:val="300"/>
        </w:trPr>
        <w:tc>
          <w:tcPr>
            <w:tcW w:w="3237" w:type="dxa"/>
            <w:noWrap/>
            <w:hideMark/>
          </w:tcPr>
          <w:p w14:paraId="289BC4F5" w14:textId="77777777" w:rsidR="00A45976" w:rsidRPr="00514706" w:rsidRDefault="00A45976">
            <w:proofErr w:type="spellStart"/>
            <w:r w:rsidRPr="00514706">
              <w:t>memantine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BAF78A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8" w14:textId="65B435F8" w:rsidTr="00A45976">
        <w:trPr>
          <w:trHeight w:val="300"/>
        </w:trPr>
        <w:tc>
          <w:tcPr>
            <w:tcW w:w="3237" w:type="dxa"/>
            <w:noWrap/>
            <w:hideMark/>
          </w:tcPr>
          <w:p w14:paraId="289BC4F7" w14:textId="77777777" w:rsidR="00A45976" w:rsidRPr="00514706" w:rsidRDefault="00A45976">
            <w:r w:rsidRPr="00514706">
              <w:t xml:space="preserve">mifepristone </w:t>
            </w:r>
          </w:p>
        </w:tc>
        <w:tc>
          <w:tcPr>
            <w:tcW w:w="6823" w:type="dxa"/>
          </w:tcPr>
          <w:p w14:paraId="4D8757B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A" w14:textId="5C3DD609" w:rsidTr="00A45976">
        <w:trPr>
          <w:trHeight w:val="300"/>
        </w:trPr>
        <w:tc>
          <w:tcPr>
            <w:tcW w:w="3237" w:type="dxa"/>
            <w:noWrap/>
            <w:hideMark/>
          </w:tcPr>
          <w:p w14:paraId="289BC4F9" w14:textId="77777777" w:rsidR="00A45976" w:rsidRPr="00514706" w:rsidRDefault="00A45976">
            <w:proofErr w:type="spellStart"/>
            <w:r w:rsidRPr="00514706">
              <w:t>minocycline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B48F21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C" w14:textId="487BEF2A" w:rsidTr="00A45976">
        <w:trPr>
          <w:trHeight w:val="300"/>
        </w:trPr>
        <w:tc>
          <w:tcPr>
            <w:tcW w:w="3237" w:type="dxa"/>
            <w:noWrap/>
            <w:hideMark/>
          </w:tcPr>
          <w:p w14:paraId="289BC4FB" w14:textId="77777777" w:rsidR="00A45976" w:rsidRPr="00514706" w:rsidRDefault="00A45976">
            <w:proofErr w:type="spellStart"/>
            <w:r w:rsidRPr="00514706">
              <w:t>minocycline+acetylsalicylic</w:t>
            </w:r>
            <w:proofErr w:type="spellEnd"/>
            <w:r w:rsidRPr="00514706">
              <w:t xml:space="preserve"> acid </w:t>
            </w:r>
          </w:p>
        </w:tc>
        <w:tc>
          <w:tcPr>
            <w:tcW w:w="6823" w:type="dxa"/>
          </w:tcPr>
          <w:p w14:paraId="5592E87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4FE" w14:textId="7FEBE3C8" w:rsidTr="00A45976">
        <w:trPr>
          <w:trHeight w:val="300"/>
        </w:trPr>
        <w:tc>
          <w:tcPr>
            <w:tcW w:w="3237" w:type="dxa"/>
            <w:noWrap/>
            <w:hideMark/>
          </w:tcPr>
          <w:p w14:paraId="289BC4FD" w14:textId="77777777" w:rsidR="00A45976" w:rsidRPr="00514706" w:rsidRDefault="00A45976">
            <w:proofErr w:type="spellStart"/>
            <w:r w:rsidRPr="00514706">
              <w:t>moclobemide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78E5A5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0" w14:textId="4B2D21B6" w:rsidTr="00A45976">
        <w:trPr>
          <w:trHeight w:val="300"/>
        </w:trPr>
        <w:tc>
          <w:tcPr>
            <w:tcW w:w="3237" w:type="dxa"/>
            <w:noWrap/>
            <w:hideMark/>
          </w:tcPr>
          <w:p w14:paraId="289BC4FF" w14:textId="77777777" w:rsidR="00A45976" w:rsidRPr="00514706" w:rsidRDefault="00A45976">
            <w:r w:rsidRPr="00514706">
              <w:t>n-</w:t>
            </w:r>
            <w:proofErr w:type="spellStart"/>
            <w:r w:rsidRPr="00514706">
              <w:t>acetyl</w:t>
            </w:r>
            <w:proofErr w:type="spellEnd"/>
            <w:r w:rsidRPr="00514706">
              <w:t xml:space="preserve"> </w:t>
            </w:r>
            <w:proofErr w:type="spellStart"/>
            <w:r w:rsidRPr="00514706">
              <w:t>cysteine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D7315FE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A45976" w14:paraId="289BC502" w14:textId="631F60B4" w:rsidTr="00A45976">
        <w:trPr>
          <w:trHeight w:val="300"/>
        </w:trPr>
        <w:tc>
          <w:tcPr>
            <w:tcW w:w="3237" w:type="dxa"/>
            <w:noWrap/>
            <w:hideMark/>
          </w:tcPr>
          <w:p w14:paraId="289BC501" w14:textId="77777777" w:rsidR="00A45976" w:rsidRPr="00122809" w:rsidRDefault="00A45976">
            <w:pPr>
              <w:rPr>
                <w:lang w:val="en-US"/>
              </w:rPr>
            </w:pPr>
            <w:r w:rsidRPr="00122809">
              <w:rPr>
                <w:lang w:val="en-US"/>
              </w:rPr>
              <w:lastRenderedPageBreak/>
              <w:t xml:space="preserve">n-acetyl </w:t>
            </w:r>
            <w:proofErr w:type="spellStart"/>
            <w:r w:rsidRPr="00122809">
              <w:rPr>
                <w:lang w:val="en-US"/>
              </w:rPr>
              <w:t>cysteine+acetylsalicylic</w:t>
            </w:r>
            <w:proofErr w:type="spellEnd"/>
            <w:r w:rsidRPr="00122809">
              <w:rPr>
                <w:lang w:val="en-US"/>
              </w:rPr>
              <w:t xml:space="preserve"> acid </w:t>
            </w:r>
          </w:p>
        </w:tc>
        <w:tc>
          <w:tcPr>
            <w:tcW w:w="6823" w:type="dxa"/>
          </w:tcPr>
          <w:p w14:paraId="45CDB268" w14:textId="77777777" w:rsidR="00A45976" w:rsidRPr="00E121E1" w:rsidRDefault="00A4597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5976" w:rsidRPr="00514706" w14:paraId="289BC504" w14:textId="7F421186" w:rsidTr="00A45976">
        <w:trPr>
          <w:trHeight w:val="300"/>
        </w:trPr>
        <w:tc>
          <w:tcPr>
            <w:tcW w:w="3237" w:type="dxa"/>
            <w:noWrap/>
            <w:hideMark/>
          </w:tcPr>
          <w:p w14:paraId="289BC503" w14:textId="77777777" w:rsidR="00A45976" w:rsidRPr="00514706" w:rsidRDefault="00A45976">
            <w:proofErr w:type="spellStart"/>
            <w:r w:rsidRPr="00514706">
              <w:t>olanzapine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4A7486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6" w14:textId="409161AC" w:rsidTr="00A45976">
        <w:trPr>
          <w:trHeight w:val="300"/>
        </w:trPr>
        <w:tc>
          <w:tcPr>
            <w:tcW w:w="3237" w:type="dxa"/>
            <w:noWrap/>
            <w:hideMark/>
          </w:tcPr>
          <w:p w14:paraId="289BC505" w14:textId="77777777" w:rsidR="00A45976" w:rsidRPr="00514706" w:rsidRDefault="00A45976">
            <w:proofErr w:type="spellStart"/>
            <w:r w:rsidRPr="00514706">
              <w:t>olanzapine+fluoxetine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45CDD8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8" w14:textId="19AC2A70" w:rsidTr="00A45976">
        <w:trPr>
          <w:trHeight w:val="300"/>
        </w:trPr>
        <w:tc>
          <w:tcPr>
            <w:tcW w:w="3237" w:type="dxa"/>
            <w:noWrap/>
            <w:hideMark/>
          </w:tcPr>
          <w:p w14:paraId="289BC507" w14:textId="77777777" w:rsidR="00A45976" w:rsidRPr="00514706" w:rsidRDefault="00A45976">
            <w:proofErr w:type="spellStart"/>
            <w:r w:rsidRPr="00514706">
              <w:t>olanzapine+lithium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CE4D7B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A" w14:textId="723456D4" w:rsidTr="00A45976">
        <w:trPr>
          <w:trHeight w:val="300"/>
        </w:trPr>
        <w:tc>
          <w:tcPr>
            <w:tcW w:w="3237" w:type="dxa"/>
            <w:noWrap/>
            <w:hideMark/>
          </w:tcPr>
          <w:p w14:paraId="289BC509" w14:textId="77777777" w:rsidR="00A45976" w:rsidRPr="00514706" w:rsidRDefault="00A45976">
            <w:r w:rsidRPr="00514706">
              <w:t xml:space="preserve">omega3 </w:t>
            </w:r>
          </w:p>
        </w:tc>
        <w:tc>
          <w:tcPr>
            <w:tcW w:w="6823" w:type="dxa"/>
          </w:tcPr>
          <w:p w14:paraId="5CF3EAA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C" w14:textId="147D7783" w:rsidTr="00A45976">
        <w:trPr>
          <w:trHeight w:val="300"/>
        </w:trPr>
        <w:tc>
          <w:tcPr>
            <w:tcW w:w="3237" w:type="dxa"/>
            <w:noWrap/>
            <w:hideMark/>
          </w:tcPr>
          <w:p w14:paraId="289BC50B" w14:textId="77777777" w:rsidR="00A45976" w:rsidRPr="00514706" w:rsidRDefault="00A45976">
            <w:proofErr w:type="spellStart"/>
            <w:r w:rsidRPr="00514706">
              <w:t>oxcarbazepine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C5E9F9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0E" w14:textId="451CB314" w:rsidTr="00A45976">
        <w:trPr>
          <w:trHeight w:val="300"/>
        </w:trPr>
        <w:tc>
          <w:tcPr>
            <w:tcW w:w="3237" w:type="dxa"/>
            <w:noWrap/>
            <w:hideMark/>
          </w:tcPr>
          <w:p w14:paraId="289BC50D" w14:textId="77777777" w:rsidR="00A45976" w:rsidRPr="00514706" w:rsidRDefault="00A45976">
            <w:proofErr w:type="spellStart"/>
            <w:r w:rsidRPr="00514706">
              <w:t>paliperidone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90ED69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0" w14:textId="494B2DE8" w:rsidTr="00A45976">
        <w:trPr>
          <w:trHeight w:val="300"/>
        </w:trPr>
        <w:tc>
          <w:tcPr>
            <w:tcW w:w="3237" w:type="dxa"/>
            <w:noWrap/>
            <w:hideMark/>
          </w:tcPr>
          <w:p w14:paraId="289BC50F" w14:textId="77777777" w:rsidR="00A45976" w:rsidRPr="00514706" w:rsidRDefault="00A45976">
            <w:proofErr w:type="spellStart"/>
            <w:r w:rsidRPr="00514706">
              <w:t>paroxetine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42CE908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2" w14:textId="29F4CA40" w:rsidTr="00A45976">
        <w:trPr>
          <w:trHeight w:val="300"/>
        </w:trPr>
        <w:tc>
          <w:tcPr>
            <w:tcW w:w="3237" w:type="dxa"/>
            <w:noWrap/>
            <w:hideMark/>
          </w:tcPr>
          <w:p w14:paraId="289BC511" w14:textId="77777777" w:rsidR="00A45976" w:rsidRPr="00514706" w:rsidRDefault="00A45976">
            <w:proofErr w:type="spellStart"/>
            <w:r w:rsidRPr="00514706">
              <w:t>paroxetine+bupropion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EFFB3C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4" w14:textId="22A06116" w:rsidTr="00A45976">
        <w:trPr>
          <w:trHeight w:val="300"/>
        </w:trPr>
        <w:tc>
          <w:tcPr>
            <w:tcW w:w="3237" w:type="dxa"/>
            <w:noWrap/>
            <w:hideMark/>
          </w:tcPr>
          <w:p w14:paraId="289BC513" w14:textId="77777777" w:rsidR="00A45976" w:rsidRPr="00514706" w:rsidRDefault="00A45976">
            <w:proofErr w:type="spellStart"/>
            <w:r w:rsidRPr="00514706">
              <w:t>phenelzine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DB95EA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6" w14:textId="4B705E4B" w:rsidTr="00A45976">
        <w:trPr>
          <w:trHeight w:val="300"/>
        </w:trPr>
        <w:tc>
          <w:tcPr>
            <w:tcW w:w="3237" w:type="dxa"/>
            <w:noWrap/>
            <w:hideMark/>
          </w:tcPr>
          <w:p w14:paraId="289BC515" w14:textId="77777777" w:rsidR="00A45976" w:rsidRPr="00514706" w:rsidRDefault="00A45976">
            <w:proofErr w:type="spellStart"/>
            <w:r w:rsidRPr="00514706">
              <w:t>pindolol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0DE3D6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8" w14:textId="58E5C625" w:rsidTr="00A45976">
        <w:trPr>
          <w:trHeight w:val="300"/>
        </w:trPr>
        <w:tc>
          <w:tcPr>
            <w:tcW w:w="3237" w:type="dxa"/>
            <w:noWrap/>
            <w:hideMark/>
          </w:tcPr>
          <w:p w14:paraId="289BC517" w14:textId="77777777" w:rsidR="00A45976" w:rsidRPr="00514706" w:rsidRDefault="00A45976">
            <w:proofErr w:type="spellStart"/>
            <w:r w:rsidRPr="00514706">
              <w:t>pioglitazone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1EF68B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A" w14:textId="5890DDD7" w:rsidTr="00A45976">
        <w:trPr>
          <w:trHeight w:val="300"/>
        </w:trPr>
        <w:tc>
          <w:tcPr>
            <w:tcW w:w="3237" w:type="dxa"/>
            <w:noWrap/>
            <w:hideMark/>
          </w:tcPr>
          <w:p w14:paraId="289BC519" w14:textId="77777777" w:rsidR="00A45976" w:rsidRPr="00514706" w:rsidRDefault="00A45976">
            <w:r w:rsidRPr="00514706">
              <w:t xml:space="preserve">placebo </w:t>
            </w:r>
          </w:p>
        </w:tc>
        <w:tc>
          <w:tcPr>
            <w:tcW w:w="6823" w:type="dxa"/>
          </w:tcPr>
          <w:p w14:paraId="489B652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C" w14:textId="0C83CD01" w:rsidTr="00A45976">
        <w:trPr>
          <w:trHeight w:val="300"/>
        </w:trPr>
        <w:tc>
          <w:tcPr>
            <w:tcW w:w="3237" w:type="dxa"/>
            <w:noWrap/>
            <w:hideMark/>
          </w:tcPr>
          <w:p w14:paraId="289BC51B" w14:textId="77777777" w:rsidR="00A45976" w:rsidRPr="00514706" w:rsidRDefault="00A45976">
            <w:r w:rsidRPr="00514706">
              <w:t>placebo/</w:t>
            </w:r>
            <w:proofErr w:type="spellStart"/>
            <w:r w:rsidRPr="00514706">
              <w:t>midazolam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75C584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1E" w14:textId="6CB4AA56" w:rsidTr="00A45976">
        <w:trPr>
          <w:trHeight w:val="300"/>
        </w:trPr>
        <w:tc>
          <w:tcPr>
            <w:tcW w:w="3237" w:type="dxa"/>
            <w:noWrap/>
            <w:hideMark/>
          </w:tcPr>
          <w:p w14:paraId="289BC51D" w14:textId="77777777" w:rsidR="00A45976" w:rsidRPr="00514706" w:rsidRDefault="00A45976">
            <w:proofErr w:type="spellStart"/>
            <w:r w:rsidRPr="00514706">
              <w:t>placebo+lithium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9F784B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20" w14:textId="57AAB0C0" w:rsidTr="00A45976">
        <w:trPr>
          <w:trHeight w:val="300"/>
        </w:trPr>
        <w:tc>
          <w:tcPr>
            <w:tcW w:w="3237" w:type="dxa"/>
            <w:noWrap/>
            <w:hideMark/>
          </w:tcPr>
          <w:p w14:paraId="289BC51F" w14:textId="77777777" w:rsidR="00A45976" w:rsidRPr="00514706" w:rsidRDefault="00A45976">
            <w:proofErr w:type="spellStart"/>
            <w:r w:rsidRPr="00514706">
              <w:t>placebo+lithium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A4B9AE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22" w14:textId="51827200" w:rsidTr="00A45976">
        <w:trPr>
          <w:trHeight w:val="300"/>
        </w:trPr>
        <w:tc>
          <w:tcPr>
            <w:tcW w:w="3237" w:type="dxa"/>
            <w:noWrap/>
            <w:hideMark/>
          </w:tcPr>
          <w:p w14:paraId="289BC521" w14:textId="77777777" w:rsidR="00A45976" w:rsidRPr="00514706" w:rsidRDefault="00A45976">
            <w:proofErr w:type="spellStart"/>
            <w:r w:rsidRPr="00514706">
              <w:t>pramipexole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45C3AE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24" w14:textId="314D502B" w:rsidTr="00A45976">
        <w:trPr>
          <w:trHeight w:val="300"/>
        </w:trPr>
        <w:tc>
          <w:tcPr>
            <w:tcW w:w="3237" w:type="dxa"/>
            <w:noWrap/>
            <w:hideMark/>
          </w:tcPr>
          <w:p w14:paraId="289BC523" w14:textId="77777777" w:rsidR="00A45976" w:rsidRPr="00514706" w:rsidRDefault="00A45976">
            <w:r w:rsidRPr="00514706">
              <w:t xml:space="preserve">pregnenolone </w:t>
            </w:r>
          </w:p>
        </w:tc>
        <w:tc>
          <w:tcPr>
            <w:tcW w:w="6823" w:type="dxa"/>
          </w:tcPr>
          <w:p w14:paraId="7E0952B1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26" w14:textId="46B63EAC" w:rsidTr="00A45976">
        <w:trPr>
          <w:trHeight w:val="300"/>
        </w:trPr>
        <w:tc>
          <w:tcPr>
            <w:tcW w:w="3237" w:type="dxa"/>
            <w:noWrap/>
            <w:hideMark/>
          </w:tcPr>
          <w:p w14:paraId="289BC525" w14:textId="77777777" w:rsidR="00A45976" w:rsidRPr="00514706" w:rsidRDefault="00A45976">
            <w:proofErr w:type="spellStart"/>
            <w:r w:rsidRPr="00206715">
              <w:rPr>
                <w:highlight w:val="yellow"/>
              </w:rPr>
              <w:t>psychoeducation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74CC824" w14:textId="620E0161" w:rsidR="00ED1344" w:rsidRPr="00E121E1" w:rsidRDefault="00ED1344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Psychoeducation consists of </w:t>
            </w:r>
            <w:r w:rsidRPr="00E121E1">
              <w:rPr>
                <w:rFonts w:ascii="Times New Roman" w:hAnsi="Times New Roman" w:cs="Times New Roman"/>
                <w:lang w:val="en-US"/>
              </w:rPr>
              <w:t>six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or more sessions in which patients, and sometimes family members, are </w:t>
            </w:r>
            <w:r w:rsidRPr="00E121E1">
              <w:rPr>
                <w:rFonts w:ascii="Times New Roman" w:hAnsi="Times New Roman" w:cs="Times New Roman"/>
                <w:lang w:val="en-US"/>
              </w:rPr>
              <w:t>given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information about disease characteristics, the importance of adherence to treatment, early recognition of prodromal signs of relapse</w:t>
            </w:r>
            <w:r w:rsidRPr="00E121E1">
              <w:rPr>
                <w:rFonts w:ascii="Times New Roman" w:hAnsi="Times New Roman" w:cs="Times New Roman"/>
                <w:lang w:val="en-US"/>
              </w:rPr>
              <w:t>/recurrence</w:t>
            </w:r>
            <w:r w:rsidRPr="00E121E1">
              <w:rPr>
                <w:rFonts w:ascii="Times New Roman" w:hAnsi="Times New Roman" w:cs="Times New Roman"/>
                <w:lang w:val="en-US"/>
              </w:rPr>
              <w:t>, management of mood symptoms or comorbid conditions, and lifestyle regularity.</w:t>
            </w:r>
          </w:p>
          <w:p w14:paraId="2C69CA38" w14:textId="77777777" w:rsidR="00ED1344" w:rsidRPr="00E121E1" w:rsidRDefault="00ED1344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588F1563" w14:textId="424D1EC5" w:rsidR="00ED1344" w:rsidRPr="00E121E1" w:rsidRDefault="00ED134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</w:t>
            </w:r>
            <w:r w:rsidRPr="00E121E1">
              <w:rPr>
                <w:rFonts w:ascii="Times New Roman" w:hAnsi="Times New Roman" w:cs="Times New Roman"/>
              </w:rPr>
              <w:t xml:space="preserve">JAMA </w:t>
            </w:r>
            <w:proofErr w:type="spellStart"/>
            <w:r w:rsidRPr="00E121E1">
              <w:rPr>
                <w:rFonts w:ascii="Times New Roman" w:hAnsi="Times New Roman" w:cs="Times New Roman"/>
              </w:rPr>
              <w:t>Psychiatry</w:t>
            </w:r>
            <w:proofErr w:type="spellEnd"/>
            <w:r w:rsidRPr="00E121E1">
              <w:rPr>
                <w:rFonts w:ascii="Times New Roman" w:hAnsi="Times New Roman" w:cs="Times New Roman"/>
              </w:rPr>
              <w:t>. 2021;</w:t>
            </w:r>
            <w:r w:rsidR="001E12DA">
              <w:rPr>
                <w:rFonts w:ascii="Times New Roman" w:hAnsi="Times New Roman" w:cs="Times New Roman"/>
              </w:rPr>
              <w:t xml:space="preserve"> </w:t>
            </w:r>
            <w:r w:rsidRPr="00E121E1">
              <w:rPr>
                <w:rFonts w:ascii="Times New Roman" w:hAnsi="Times New Roman" w:cs="Times New Roman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</w:rPr>
              <w:t>: 10.1001/jamapsychiatry.2020.2993.</w:t>
            </w:r>
          </w:p>
        </w:tc>
      </w:tr>
      <w:tr w:rsidR="00A45976" w:rsidRPr="00F805F1" w14:paraId="289BC528" w14:textId="04346D0E" w:rsidTr="00A45976">
        <w:trPr>
          <w:trHeight w:val="300"/>
        </w:trPr>
        <w:tc>
          <w:tcPr>
            <w:tcW w:w="3237" w:type="dxa"/>
            <w:noWrap/>
            <w:hideMark/>
          </w:tcPr>
          <w:p w14:paraId="289BC527" w14:textId="77777777" w:rsidR="00A45976" w:rsidRPr="00206715" w:rsidRDefault="00A45976">
            <w:pPr>
              <w:rPr>
                <w:highlight w:val="yellow"/>
              </w:rPr>
            </w:pPr>
            <w:commentRangeStart w:id="1"/>
            <w:proofErr w:type="spellStart"/>
            <w:r w:rsidRPr="00206715">
              <w:rPr>
                <w:highlight w:val="yellow"/>
              </w:rPr>
              <w:t>psychoeducation</w:t>
            </w:r>
            <w:proofErr w:type="spellEnd"/>
            <w:r w:rsidRPr="00206715">
              <w:rPr>
                <w:highlight w:val="yellow"/>
              </w:rPr>
              <w:t xml:space="preserve"> brief </w:t>
            </w:r>
            <w:commentRangeEnd w:id="1"/>
            <w:r w:rsidR="00F805F1">
              <w:rPr>
                <w:rStyle w:val="Rimandocommento"/>
              </w:rPr>
              <w:commentReference w:id="1"/>
            </w:r>
          </w:p>
        </w:tc>
        <w:tc>
          <w:tcPr>
            <w:tcW w:w="6823" w:type="dxa"/>
          </w:tcPr>
          <w:p w14:paraId="4753F032" w14:textId="69AA5412" w:rsidR="00A45976" w:rsidRPr="00E121E1" w:rsidRDefault="00F805F1" w:rsidP="00F805F1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Brief psychoeducation refers to protocols consisting of fewer than 3 psychoeducation sessions delivered in a group, </w:t>
            </w:r>
            <w:r w:rsidR="001E12DA"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family,</w:t>
            </w:r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or individual format. Such interventions sometimes include skills training tasks for patients</w:t>
            </w:r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with bipolar disorder</w:t>
            </w:r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such as regulating sleep-wake cycles or monitoring prodromal symptoms. A self-</w:t>
            </w:r>
            <w:r w:rsidR="001E12D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guid</w:t>
            </w:r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 workbook is often included.</w:t>
            </w:r>
          </w:p>
          <w:p w14:paraId="7F75E195" w14:textId="77777777" w:rsidR="00F805F1" w:rsidRPr="00E121E1" w:rsidRDefault="00F805F1" w:rsidP="00F805F1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A486FC0" w14:textId="4BFA794E" w:rsidR="00F805F1" w:rsidRPr="00E121E1" w:rsidRDefault="00F805F1" w:rsidP="00F805F1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 Feb 1;78(2):141-150. </w:t>
            </w:r>
            <w:proofErr w:type="spellStart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10.1001/jamapsychiatry.2020.2993.</w:t>
            </w:r>
          </w:p>
        </w:tc>
      </w:tr>
      <w:tr w:rsidR="00A45976" w:rsidRPr="00053003" w14:paraId="289BC52A" w14:textId="77F40565" w:rsidTr="00A45976">
        <w:trPr>
          <w:trHeight w:val="300"/>
        </w:trPr>
        <w:tc>
          <w:tcPr>
            <w:tcW w:w="3237" w:type="dxa"/>
            <w:noWrap/>
            <w:hideMark/>
          </w:tcPr>
          <w:p w14:paraId="289BC529" w14:textId="77777777" w:rsidR="00A45976" w:rsidRPr="00206715" w:rsidRDefault="00A45976">
            <w:pPr>
              <w:rPr>
                <w:highlight w:val="yellow"/>
              </w:rPr>
            </w:pPr>
            <w:proofErr w:type="spellStart"/>
            <w:r w:rsidRPr="00206715">
              <w:rPr>
                <w:highlight w:val="yellow"/>
              </w:rPr>
              <w:t>psychoeducation</w:t>
            </w:r>
            <w:proofErr w:type="spellEnd"/>
            <w:r w:rsidRPr="00206715">
              <w:rPr>
                <w:highlight w:val="yellow"/>
              </w:rPr>
              <w:t xml:space="preserve"> group </w:t>
            </w:r>
          </w:p>
        </w:tc>
        <w:tc>
          <w:tcPr>
            <w:tcW w:w="6823" w:type="dxa"/>
          </w:tcPr>
          <w:p w14:paraId="38677F15" w14:textId="77777777" w:rsidR="00A45976" w:rsidRPr="00E121E1" w:rsidRDefault="00053003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P</w:t>
            </w:r>
            <w:r w:rsidRPr="00E121E1">
              <w:rPr>
                <w:rFonts w:ascii="Times New Roman" w:hAnsi="Times New Roman" w:cs="Times New Roman"/>
                <w:lang w:val="en-US"/>
              </w:rPr>
              <w:t>sychoeducational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program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provided in a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group format.</w:t>
            </w:r>
          </w:p>
          <w:p w14:paraId="43F35A13" w14:textId="77777777" w:rsidR="00053003" w:rsidRPr="00E121E1" w:rsidRDefault="000530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677FDC10" w14:textId="69BE1DE3" w:rsidR="00053003" w:rsidRPr="00E121E1" w:rsidRDefault="000530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  <w:tr w:rsidR="00A45976" w:rsidRPr="00053003" w14:paraId="289BC52C" w14:textId="2F2A5311" w:rsidTr="00A45976">
        <w:trPr>
          <w:trHeight w:val="300"/>
        </w:trPr>
        <w:tc>
          <w:tcPr>
            <w:tcW w:w="3237" w:type="dxa"/>
            <w:noWrap/>
            <w:hideMark/>
          </w:tcPr>
          <w:p w14:paraId="289BC52B" w14:textId="77777777" w:rsidR="00A45976" w:rsidRPr="00514706" w:rsidRDefault="00A45976">
            <w:proofErr w:type="spellStart"/>
            <w:r w:rsidRPr="00206715">
              <w:rPr>
                <w:highlight w:val="yellow"/>
              </w:rPr>
              <w:t>psychoeducation</w:t>
            </w:r>
            <w:proofErr w:type="spellEnd"/>
            <w:r w:rsidRPr="00206715">
              <w:rPr>
                <w:highlight w:val="yellow"/>
              </w:rPr>
              <w:t xml:space="preserve"> </w:t>
            </w:r>
            <w:proofErr w:type="spellStart"/>
            <w:r w:rsidRPr="00206715">
              <w:rPr>
                <w:highlight w:val="yellow"/>
              </w:rPr>
              <w:t>individual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916333F" w14:textId="77777777" w:rsidR="00A45976" w:rsidRPr="00E121E1" w:rsidRDefault="00053003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Psychoeducational program provided in an individual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format.</w:t>
            </w:r>
          </w:p>
          <w:p w14:paraId="49ADC08E" w14:textId="77777777" w:rsidR="00053003" w:rsidRPr="00E121E1" w:rsidRDefault="000530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05C17351" w14:textId="6B8A3662" w:rsidR="00053003" w:rsidRPr="00E121E1" w:rsidRDefault="000530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</w:t>
            </w:r>
            <w:r w:rsidRPr="00E121E1">
              <w:rPr>
                <w:rFonts w:ascii="Times New Roman" w:hAnsi="Times New Roman" w:cs="Times New Roman"/>
                <w:lang w:val="en-US"/>
              </w:rPr>
              <w:lastRenderedPageBreak/>
              <w:t>Systematic Review and Component Network Meta-analysis. JAMA Psychiatry. 2021;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  <w:tr w:rsidR="00A45976" w:rsidRPr="00514706" w14:paraId="289BC52E" w14:textId="6971B07B" w:rsidTr="00A45976">
        <w:trPr>
          <w:trHeight w:val="300"/>
        </w:trPr>
        <w:tc>
          <w:tcPr>
            <w:tcW w:w="3237" w:type="dxa"/>
            <w:noWrap/>
            <w:hideMark/>
          </w:tcPr>
          <w:p w14:paraId="289BC52D" w14:textId="77777777" w:rsidR="00A45976" w:rsidRPr="00514706" w:rsidRDefault="00A45976">
            <w:proofErr w:type="spellStart"/>
            <w:r w:rsidRPr="00514706">
              <w:lastRenderedPageBreak/>
              <w:t>quetiapine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98C588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0" w14:textId="282CA722" w:rsidTr="00A45976">
        <w:trPr>
          <w:trHeight w:val="300"/>
        </w:trPr>
        <w:tc>
          <w:tcPr>
            <w:tcW w:w="3237" w:type="dxa"/>
            <w:noWrap/>
            <w:hideMark/>
          </w:tcPr>
          <w:p w14:paraId="289BC52F" w14:textId="77777777" w:rsidR="00A45976" w:rsidRPr="00514706" w:rsidRDefault="00A45976">
            <w:proofErr w:type="spellStart"/>
            <w:r w:rsidRPr="00514706">
              <w:t>quetiapine+lithium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4147B6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2" w14:textId="30CECCCD" w:rsidTr="00A45976">
        <w:trPr>
          <w:trHeight w:val="300"/>
        </w:trPr>
        <w:tc>
          <w:tcPr>
            <w:tcW w:w="3237" w:type="dxa"/>
            <w:noWrap/>
            <w:hideMark/>
          </w:tcPr>
          <w:p w14:paraId="289BC531" w14:textId="77777777" w:rsidR="00A45976" w:rsidRPr="00514706" w:rsidRDefault="00A45976">
            <w:proofErr w:type="spellStart"/>
            <w:r w:rsidRPr="00514706">
              <w:t>ramelteon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89398A9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4" w14:textId="21544A1D" w:rsidTr="00A45976">
        <w:trPr>
          <w:trHeight w:val="300"/>
        </w:trPr>
        <w:tc>
          <w:tcPr>
            <w:tcW w:w="3237" w:type="dxa"/>
            <w:noWrap/>
            <w:hideMark/>
          </w:tcPr>
          <w:p w14:paraId="289BC533" w14:textId="77777777" w:rsidR="00A45976" w:rsidRPr="00514706" w:rsidRDefault="00A45976">
            <w:proofErr w:type="spellStart"/>
            <w:r w:rsidRPr="00514706">
              <w:t>risperidone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9ABEF49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6" w14:textId="14079891" w:rsidTr="00A45976">
        <w:trPr>
          <w:trHeight w:val="300"/>
        </w:trPr>
        <w:tc>
          <w:tcPr>
            <w:tcW w:w="3237" w:type="dxa"/>
            <w:noWrap/>
            <w:hideMark/>
          </w:tcPr>
          <w:p w14:paraId="289BC535" w14:textId="77777777" w:rsidR="00A45976" w:rsidRPr="00514706" w:rsidRDefault="00A45976">
            <w:proofErr w:type="spellStart"/>
            <w:r w:rsidRPr="00514706">
              <w:t>risperidone</w:t>
            </w:r>
            <w:proofErr w:type="spellEnd"/>
            <w:r w:rsidRPr="00514706">
              <w:t xml:space="preserve"> LAI </w:t>
            </w:r>
          </w:p>
        </w:tc>
        <w:tc>
          <w:tcPr>
            <w:tcW w:w="6823" w:type="dxa"/>
          </w:tcPr>
          <w:p w14:paraId="0274AC6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8" w14:textId="51058D1B" w:rsidTr="00A45976">
        <w:trPr>
          <w:trHeight w:val="300"/>
        </w:trPr>
        <w:tc>
          <w:tcPr>
            <w:tcW w:w="3237" w:type="dxa"/>
            <w:noWrap/>
            <w:hideMark/>
          </w:tcPr>
          <w:p w14:paraId="289BC537" w14:textId="77777777" w:rsidR="00A45976" w:rsidRPr="00514706" w:rsidRDefault="00A45976">
            <w:proofErr w:type="spellStart"/>
            <w:r w:rsidRPr="00514706">
              <w:t>risperidone+paroxetine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5D03216C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A" w14:textId="5C260A31" w:rsidTr="00A45976">
        <w:trPr>
          <w:trHeight w:val="300"/>
        </w:trPr>
        <w:tc>
          <w:tcPr>
            <w:tcW w:w="3237" w:type="dxa"/>
            <w:noWrap/>
            <w:hideMark/>
          </w:tcPr>
          <w:p w14:paraId="289BC539" w14:textId="77777777" w:rsidR="00A45976" w:rsidRPr="00514706" w:rsidRDefault="00A45976">
            <w:proofErr w:type="spellStart"/>
            <w:r w:rsidRPr="00514706">
              <w:t>rTMS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A61F176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C" w14:textId="5A7918C7" w:rsidTr="00A45976">
        <w:trPr>
          <w:trHeight w:val="300"/>
        </w:trPr>
        <w:tc>
          <w:tcPr>
            <w:tcW w:w="3237" w:type="dxa"/>
            <w:noWrap/>
            <w:hideMark/>
          </w:tcPr>
          <w:p w14:paraId="289BC53B" w14:textId="77777777" w:rsidR="00A45976" w:rsidRPr="00514706" w:rsidRDefault="00A45976">
            <w:proofErr w:type="spellStart"/>
            <w:r w:rsidRPr="00514706">
              <w:t>sAME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2B86D1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3E" w14:textId="283F2E82" w:rsidTr="00A45976">
        <w:trPr>
          <w:trHeight w:val="300"/>
        </w:trPr>
        <w:tc>
          <w:tcPr>
            <w:tcW w:w="3237" w:type="dxa"/>
            <w:noWrap/>
            <w:hideMark/>
          </w:tcPr>
          <w:p w14:paraId="289BC53D" w14:textId="77777777" w:rsidR="00A45976" w:rsidRPr="00514706" w:rsidRDefault="00A45976">
            <w:proofErr w:type="spellStart"/>
            <w:r w:rsidRPr="00514706">
              <w:t>sertraline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AE7E89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0" w14:textId="4DD31856" w:rsidTr="00A45976">
        <w:trPr>
          <w:trHeight w:val="300"/>
        </w:trPr>
        <w:tc>
          <w:tcPr>
            <w:tcW w:w="3237" w:type="dxa"/>
            <w:noWrap/>
            <w:hideMark/>
          </w:tcPr>
          <w:p w14:paraId="289BC53F" w14:textId="77777777" w:rsidR="00A45976" w:rsidRPr="00514706" w:rsidRDefault="00A45976">
            <w:proofErr w:type="spellStart"/>
            <w:r w:rsidRPr="00514706">
              <w:t>sham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659848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F805F1" w14:paraId="289BC542" w14:textId="233D9DA9" w:rsidTr="00A45976">
        <w:trPr>
          <w:trHeight w:val="300"/>
        </w:trPr>
        <w:tc>
          <w:tcPr>
            <w:tcW w:w="3237" w:type="dxa"/>
            <w:noWrap/>
            <w:hideMark/>
          </w:tcPr>
          <w:p w14:paraId="289BC541" w14:textId="77777777" w:rsidR="00A45976" w:rsidRPr="00514706" w:rsidRDefault="00A45976">
            <w:r w:rsidRPr="00122809">
              <w:rPr>
                <w:highlight w:val="yellow"/>
              </w:rPr>
              <w:t>supportive therapy</w:t>
            </w:r>
            <w:r w:rsidRPr="00514706">
              <w:t xml:space="preserve"> </w:t>
            </w:r>
          </w:p>
        </w:tc>
        <w:tc>
          <w:tcPr>
            <w:tcW w:w="6823" w:type="dxa"/>
          </w:tcPr>
          <w:p w14:paraId="3E0E6452" w14:textId="38CFE8E9" w:rsidR="00A45976" w:rsidRPr="00E121E1" w:rsidRDefault="00F805F1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 xml:space="preserve">Supportive therapy is an unstructured therapy without specific psychological techniques other than those common to all </w:t>
            </w:r>
            <w:r w:rsidR="00053003" w:rsidRPr="00E121E1">
              <w:rPr>
                <w:rFonts w:ascii="Times New Roman" w:hAnsi="Times New Roman" w:cs="Times New Roman"/>
                <w:lang w:val="en-US"/>
              </w:rPr>
              <w:t>approaches and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may be delivered in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an individual or group format. </w:t>
            </w:r>
            <w:r w:rsidR="00053003" w:rsidRPr="00E121E1">
              <w:rPr>
                <w:rFonts w:ascii="Times New Roman" w:hAnsi="Times New Roman" w:cs="Times New Roman"/>
                <w:lang w:val="en-US"/>
              </w:rPr>
              <w:t>I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t </w:t>
            </w:r>
            <w:proofErr w:type="gramStart"/>
            <w:r w:rsidRPr="00E121E1">
              <w:rPr>
                <w:rFonts w:ascii="Times New Roman" w:hAnsi="Times New Roman" w:cs="Times New Roman"/>
                <w:lang w:val="en-US"/>
              </w:rPr>
              <w:t>is based on the assumption</w:t>
            </w:r>
            <w:proofErr w:type="gramEnd"/>
            <w:r w:rsidRPr="00E121E1">
              <w:rPr>
                <w:rFonts w:ascii="Times New Roman" w:hAnsi="Times New Roman" w:cs="Times New Roman"/>
                <w:lang w:val="en-US"/>
              </w:rPr>
              <w:t xml:space="preserve"> that the therapeutic alliance is the</w:t>
            </w:r>
            <w:r w:rsidR="00053003" w:rsidRPr="00E121E1">
              <w:rPr>
                <w:rFonts w:ascii="Times New Roman" w:hAnsi="Times New Roman" w:cs="Times New Roman"/>
                <w:lang w:val="en-US"/>
              </w:rPr>
              <w:t xml:space="preserve"> crucial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element of therapy and that relief from personal problems can be achieved through discussion with others.</w:t>
            </w:r>
          </w:p>
          <w:p w14:paraId="23E109EE" w14:textId="77777777" w:rsidR="004472BB" w:rsidRPr="00E121E1" w:rsidRDefault="004472BB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0DD630D8" w14:textId="24A3B667" w:rsidR="004472BB" w:rsidRPr="00E121E1" w:rsidRDefault="004472BB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  <w:tr w:rsidR="00A45976" w:rsidRPr="00514706" w14:paraId="289BC544" w14:textId="6D1C76C7" w:rsidTr="00A45976">
        <w:trPr>
          <w:trHeight w:val="300"/>
        </w:trPr>
        <w:tc>
          <w:tcPr>
            <w:tcW w:w="3237" w:type="dxa"/>
            <w:noWrap/>
            <w:hideMark/>
          </w:tcPr>
          <w:p w14:paraId="289BC543" w14:textId="77777777" w:rsidR="00A45976" w:rsidRPr="00514706" w:rsidRDefault="00A45976">
            <w:r w:rsidRPr="00514706">
              <w:t xml:space="preserve">t3 </w:t>
            </w:r>
            <w:proofErr w:type="spellStart"/>
            <w:r w:rsidRPr="00514706">
              <w:t>hormone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805A5D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6" w14:textId="0BB89C40" w:rsidTr="00A45976">
        <w:trPr>
          <w:trHeight w:val="300"/>
        </w:trPr>
        <w:tc>
          <w:tcPr>
            <w:tcW w:w="3237" w:type="dxa"/>
            <w:noWrap/>
            <w:hideMark/>
          </w:tcPr>
          <w:p w14:paraId="289BC545" w14:textId="77777777" w:rsidR="00A45976" w:rsidRPr="00514706" w:rsidRDefault="00A45976">
            <w:r w:rsidRPr="00514706">
              <w:t xml:space="preserve">t4 </w:t>
            </w:r>
            <w:proofErr w:type="spellStart"/>
            <w:r w:rsidRPr="00514706">
              <w:t>hormone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44F070F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8" w14:textId="26CEB30D" w:rsidTr="00A45976">
        <w:trPr>
          <w:trHeight w:val="300"/>
        </w:trPr>
        <w:tc>
          <w:tcPr>
            <w:tcW w:w="3237" w:type="dxa"/>
            <w:noWrap/>
            <w:hideMark/>
          </w:tcPr>
          <w:p w14:paraId="289BC547" w14:textId="77777777" w:rsidR="00A45976" w:rsidRPr="00514706" w:rsidRDefault="00A45976">
            <w:proofErr w:type="spellStart"/>
            <w:r w:rsidRPr="00514706">
              <w:t>tamoxifen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62B7C31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A" w14:textId="3EC3A970" w:rsidTr="00A45976">
        <w:trPr>
          <w:trHeight w:val="300"/>
        </w:trPr>
        <w:tc>
          <w:tcPr>
            <w:tcW w:w="3237" w:type="dxa"/>
            <w:noWrap/>
            <w:hideMark/>
          </w:tcPr>
          <w:p w14:paraId="289BC549" w14:textId="77777777" w:rsidR="00A45976" w:rsidRPr="00514706" w:rsidRDefault="00A45976">
            <w:r w:rsidRPr="00514706">
              <w:t>TAU</w:t>
            </w:r>
          </w:p>
        </w:tc>
        <w:tc>
          <w:tcPr>
            <w:tcW w:w="6823" w:type="dxa"/>
          </w:tcPr>
          <w:p w14:paraId="7347F8F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C" w14:textId="2B27F0CE" w:rsidTr="00A45976">
        <w:trPr>
          <w:trHeight w:val="300"/>
        </w:trPr>
        <w:tc>
          <w:tcPr>
            <w:tcW w:w="3237" w:type="dxa"/>
            <w:noWrap/>
            <w:hideMark/>
          </w:tcPr>
          <w:p w14:paraId="289BC54B" w14:textId="77777777" w:rsidR="00A45976" w:rsidRPr="00514706" w:rsidRDefault="00A45976">
            <w:r w:rsidRPr="00514706">
              <w:t>TAU/</w:t>
            </w:r>
            <w:proofErr w:type="spellStart"/>
            <w:r w:rsidRPr="00514706">
              <w:t>sham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64DE21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4E" w14:textId="64E711E6" w:rsidTr="00A45976">
        <w:trPr>
          <w:trHeight w:val="300"/>
        </w:trPr>
        <w:tc>
          <w:tcPr>
            <w:tcW w:w="3237" w:type="dxa"/>
            <w:noWrap/>
            <w:hideMark/>
          </w:tcPr>
          <w:p w14:paraId="289BC54D" w14:textId="77777777" w:rsidR="00A45976" w:rsidRPr="00514706" w:rsidRDefault="00A45976">
            <w:r w:rsidRPr="00514706">
              <w:t>TAU/</w:t>
            </w:r>
            <w:proofErr w:type="spellStart"/>
            <w:r w:rsidRPr="00514706">
              <w:t>waiting</w:t>
            </w:r>
            <w:proofErr w:type="spellEnd"/>
            <w:r w:rsidRPr="00514706">
              <w:t xml:space="preserve"> list </w:t>
            </w:r>
          </w:p>
        </w:tc>
        <w:tc>
          <w:tcPr>
            <w:tcW w:w="6823" w:type="dxa"/>
          </w:tcPr>
          <w:p w14:paraId="0FA68F55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0" w14:textId="03D55D24" w:rsidTr="00A45976">
        <w:trPr>
          <w:trHeight w:val="300"/>
        </w:trPr>
        <w:tc>
          <w:tcPr>
            <w:tcW w:w="3237" w:type="dxa"/>
            <w:noWrap/>
            <w:hideMark/>
          </w:tcPr>
          <w:p w14:paraId="289BC54F" w14:textId="77777777" w:rsidR="00A45976" w:rsidRPr="00514706" w:rsidRDefault="00A45976">
            <w:proofErr w:type="spellStart"/>
            <w:r w:rsidRPr="00514706">
              <w:t>tDCS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B62D67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2" w14:textId="09CA6967" w:rsidTr="00A45976">
        <w:trPr>
          <w:trHeight w:val="300"/>
        </w:trPr>
        <w:tc>
          <w:tcPr>
            <w:tcW w:w="3237" w:type="dxa"/>
            <w:noWrap/>
            <w:hideMark/>
          </w:tcPr>
          <w:p w14:paraId="289BC551" w14:textId="77777777" w:rsidR="00A45976" w:rsidRPr="00514706" w:rsidRDefault="00A45976">
            <w:proofErr w:type="spellStart"/>
            <w:r w:rsidRPr="00514706">
              <w:t>tianeptine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53A438D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4" w14:textId="173E355E" w:rsidTr="00A45976">
        <w:trPr>
          <w:trHeight w:val="300"/>
        </w:trPr>
        <w:tc>
          <w:tcPr>
            <w:tcW w:w="3237" w:type="dxa"/>
            <w:noWrap/>
            <w:hideMark/>
          </w:tcPr>
          <w:p w14:paraId="289BC553" w14:textId="77777777" w:rsidR="00A45976" w:rsidRPr="00514706" w:rsidRDefault="00A45976">
            <w:proofErr w:type="spellStart"/>
            <w:r w:rsidRPr="00514706">
              <w:t>topiramate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8921304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A561F3" w14:paraId="289BC556" w14:textId="26F05F50" w:rsidTr="00A45976">
        <w:trPr>
          <w:trHeight w:val="300"/>
        </w:trPr>
        <w:tc>
          <w:tcPr>
            <w:tcW w:w="3237" w:type="dxa"/>
            <w:noWrap/>
            <w:hideMark/>
          </w:tcPr>
          <w:p w14:paraId="289BC555" w14:textId="77777777" w:rsidR="00A45976" w:rsidRPr="00514706" w:rsidRDefault="00A45976">
            <w:proofErr w:type="spellStart"/>
            <w:r w:rsidRPr="00122809">
              <w:rPr>
                <w:highlight w:val="yellow"/>
              </w:rPr>
              <w:t>total</w:t>
            </w:r>
            <w:proofErr w:type="spellEnd"/>
            <w:r w:rsidRPr="00122809">
              <w:rPr>
                <w:highlight w:val="yellow"/>
              </w:rPr>
              <w:t xml:space="preserve"> </w:t>
            </w:r>
            <w:proofErr w:type="spellStart"/>
            <w:r w:rsidRPr="00122809">
              <w:rPr>
                <w:highlight w:val="yellow"/>
              </w:rPr>
              <w:t>sleep</w:t>
            </w:r>
            <w:proofErr w:type="spellEnd"/>
            <w:r w:rsidRPr="00122809">
              <w:rPr>
                <w:highlight w:val="yellow"/>
              </w:rPr>
              <w:t xml:space="preserve"> </w:t>
            </w:r>
            <w:proofErr w:type="spellStart"/>
            <w:r w:rsidRPr="00122809">
              <w:rPr>
                <w:highlight w:val="yellow"/>
              </w:rPr>
              <w:t>deprivation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E51122F" w14:textId="28914D6B" w:rsidR="00A45976" w:rsidRPr="00E121E1" w:rsidRDefault="00A561F3" w:rsidP="00A561F3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O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ne cycle of </w:t>
            </w:r>
            <w:r w:rsidRPr="00E121E1">
              <w:rPr>
                <w:rFonts w:ascii="Times New Roman" w:hAnsi="Times New Roman" w:cs="Times New Roman"/>
                <w:lang w:val="en-US"/>
              </w:rPr>
              <w:t>total sleep deprivation (</w:t>
            </w:r>
            <w:r w:rsidRPr="00E121E1">
              <w:rPr>
                <w:rFonts w:ascii="Times New Roman" w:hAnsi="Times New Roman" w:cs="Times New Roman"/>
                <w:lang w:val="en-US"/>
              </w:rPr>
              <w:t>TSD</w:t>
            </w:r>
            <w:r w:rsidRPr="00E121E1">
              <w:rPr>
                <w:rFonts w:ascii="Times New Roman" w:hAnsi="Times New Roman" w:cs="Times New Roman"/>
                <w:lang w:val="en-US"/>
              </w:rPr>
              <w:t>)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21E1" w:rsidRPr="00E121E1">
              <w:rPr>
                <w:rFonts w:ascii="Times New Roman" w:hAnsi="Times New Roman" w:cs="Times New Roman"/>
                <w:lang w:val="en-US"/>
              </w:rPr>
              <w:t>involves being deprived of total sleep for approximately 36 hours straight</w:t>
            </w:r>
            <w:r w:rsidRPr="00E121E1">
              <w:rPr>
                <w:rFonts w:ascii="Times New Roman" w:hAnsi="Times New Roman" w:cs="Times New Roman"/>
                <w:lang w:val="en-US"/>
              </w:rPr>
              <w:t>, from daytime until next day’s evening.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Treatment usually consists in one to six cycles.</w:t>
            </w:r>
          </w:p>
          <w:p w14:paraId="613D532D" w14:textId="77777777" w:rsidR="00A561F3" w:rsidRPr="00E121E1" w:rsidRDefault="00A561F3" w:rsidP="00A561F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14:paraId="6E855840" w14:textId="2E595AF1" w:rsidR="00A561F3" w:rsidRPr="00E121E1" w:rsidRDefault="00A561F3" w:rsidP="00A561F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E121E1">
              <w:rPr>
                <w:rFonts w:ascii="Times New Roman" w:hAnsi="Times New Roman" w:cs="Times New Roman"/>
              </w:rPr>
              <w:t>Ramirez-</w:t>
            </w:r>
            <w:proofErr w:type="spellStart"/>
            <w:r w:rsidRPr="00E121E1">
              <w:rPr>
                <w:rFonts w:ascii="Times New Roman" w:hAnsi="Times New Roman" w:cs="Times New Roman"/>
              </w:rPr>
              <w:t>Mahaluf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 JP, </w:t>
            </w:r>
            <w:proofErr w:type="spellStart"/>
            <w:r w:rsidRPr="00E121E1">
              <w:rPr>
                <w:rFonts w:ascii="Times New Roman" w:hAnsi="Times New Roman" w:cs="Times New Roman"/>
              </w:rPr>
              <w:t>Rozas</w:t>
            </w:r>
            <w:proofErr w:type="spellEnd"/>
            <w:r w:rsidRPr="00E121E1">
              <w:rPr>
                <w:rFonts w:ascii="Times New Roman" w:hAnsi="Times New Roman" w:cs="Times New Roman"/>
              </w:rPr>
              <w:t>-Serri E, Ivanovic-</w:t>
            </w:r>
            <w:proofErr w:type="spellStart"/>
            <w:r w:rsidRPr="00E121E1">
              <w:rPr>
                <w:rFonts w:ascii="Times New Roman" w:hAnsi="Times New Roman" w:cs="Times New Roman"/>
              </w:rPr>
              <w:t>Zuvic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 F, </w:t>
            </w:r>
            <w:proofErr w:type="spellStart"/>
            <w:r w:rsidRPr="00E121E1">
              <w:rPr>
                <w:rFonts w:ascii="Times New Roman" w:hAnsi="Times New Roman" w:cs="Times New Roman"/>
              </w:rPr>
              <w:t>Risco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 L, </w:t>
            </w:r>
            <w:proofErr w:type="spellStart"/>
            <w:r w:rsidRPr="00E121E1">
              <w:rPr>
                <w:rFonts w:ascii="Times New Roman" w:hAnsi="Times New Roman" w:cs="Times New Roman"/>
              </w:rPr>
              <w:t>Vöhringer</w:t>
            </w:r>
            <w:proofErr w:type="spellEnd"/>
            <w:r w:rsidRPr="00E121E1">
              <w:rPr>
                <w:rFonts w:ascii="Times New Roman" w:hAnsi="Times New Roman" w:cs="Times New Roman"/>
              </w:rPr>
              <w:t xml:space="preserve"> PA.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Effectiveness of Sleep Deprivation in Treating Acute Bipolar Depression as Augmentation Strategy: A Systematic Review and Meta-Analysis. Front Psychiatry. 2020 Feb </w:t>
            </w:r>
            <w:proofErr w:type="gramStart"/>
            <w:r w:rsidRPr="00E121E1">
              <w:rPr>
                <w:rFonts w:ascii="Times New Roman" w:hAnsi="Times New Roman" w:cs="Times New Roman"/>
                <w:lang w:val="en-US"/>
              </w:rPr>
              <w:t>25;11:70</w:t>
            </w:r>
            <w:proofErr w:type="gramEnd"/>
            <w:r w:rsidRPr="00E121E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10.3389/fpsyt.2020.00070.</w:t>
            </w:r>
          </w:p>
        </w:tc>
      </w:tr>
      <w:tr w:rsidR="00A45976" w:rsidRPr="00514706" w14:paraId="289BC558" w14:textId="0C978770" w:rsidTr="00A45976">
        <w:trPr>
          <w:trHeight w:val="300"/>
        </w:trPr>
        <w:tc>
          <w:tcPr>
            <w:tcW w:w="3237" w:type="dxa"/>
            <w:noWrap/>
            <w:hideMark/>
          </w:tcPr>
          <w:p w14:paraId="289BC557" w14:textId="77777777" w:rsidR="00A45976" w:rsidRPr="00514706" w:rsidRDefault="00A45976">
            <w:proofErr w:type="spellStart"/>
            <w:r w:rsidRPr="00514706">
              <w:t>tranylcypromine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2C3394A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A" w14:textId="51DA90A6" w:rsidTr="00A45976">
        <w:trPr>
          <w:trHeight w:val="300"/>
        </w:trPr>
        <w:tc>
          <w:tcPr>
            <w:tcW w:w="3237" w:type="dxa"/>
            <w:noWrap/>
            <w:hideMark/>
          </w:tcPr>
          <w:p w14:paraId="289BC559" w14:textId="77777777" w:rsidR="00A45976" w:rsidRPr="00514706" w:rsidRDefault="00A45976">
            <w:proofErr w:type="spellStart"/>
            <w:r w:rsidRPr="00514706">
              <w:t>valnoctamide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48EC232B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C" w14:textId="260E13EC" w:rsidTr="00A45976">
        <w:trPr>
          <w:trHeight w:val="300"/>
        </w:trPr>
        <w:tc>
          <w:tcPr>
            <w:tcW w:w="3237" w:type="dxa"/>
            <w:noWrap/>
            <w:hideMark/>
          </w:tcPr>
          <w:p w14:paraId="289BC55B" w14:textId="77777777" w:rsidR="00A45976" w:rsidRPr="00514706" w:rsidRDefault="00A45976">
            <w:proofErr w:type="spellStart"/>
            <w:r w:rsidRPr="00514706">
              <w:t>venlafaxine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051EFC69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5E" w14:textId="10C5FA0D" w:rsidTr="00A45976">
        <w:trPr>
          <w:trHeight w:val="300"/>
        </w:trPr>
        <w:tc>
          <w:tcPr>
            <w:tcW w:w="3237" w:type="dxa"/>
            <w:noWrap/>
            <w:hideMark/>
          </w:tcPr>
          <w:p w14:paraId="289BC55D" w14:textId="77777777" w:rsidR="00A45976" w:rsidRPr="00514706" w:rsidRDefault="00A45976">
            <w:proofErr w:type="spellStart"/>
            <w:r w:rsidRPr="00514706">
              <w:t>verapamil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16167727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60" w14:textId="76E5D002" w:rsidTr="00A45976">
        <w:trPr>
          <w:trHeight w:val="300"/>
        </w:trPr>
        <w:tc>
          <w:tcPr>
            <w:tcW w:w="3237" w:type="dxa"/>
            <w:noWrap/>
            <w:hideMark/>
          </w:tcPr>
          <w:p w14:paraId="289BC55F" w14:textId="77777777" w:rsidR="00A45976" w:rsidRPr="00514706" w:rsidRDefault="00A45976">
            <w:r w:rsidRPr="00514706">
              <w:t xml:space="preserve">vitD3 </w:t>
            </w:r>
          </w:p>
        </w:tc>
        <w:tc>
          <w:tcPr>
            <w:tcW w:w="6823" w:type="dxa"/>
          </w:tcPr>
          <w:p w14:paraId="6969C972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62" w14:textId="1A6209D6" w:rsidTr="00A45976">
        <w:trPr>
          <w:trHeight w:val="300"/>
        </w:trPr>
        <w:tc>
          <w:tcPr>
            <w:tcW w:w="3237" w:type="dxa"/>
            <w:noWrap/>
            <w:hideMark/>
          </w:tcPr>
          <w:p w14:paraId="289BC561" w14:textId="77777777" w:rsidR="00A45976" w:rsidRPr="00514706" w:rsidRDefault="00A45976">
            <w:proofErr w:type="spellStart"/>
            <w:r w:rsidRPr="00514706">
              <w:t>withania</w:t>
            </w:r>
            <w:proofErr w:type="spellEnd"/>
            <w:r w:rsidRPr="00514706">
              <w:t xml:space="preserve"> </w:t>
            </w:r>
            <w:proofErr w:type="spellStart"/>
            <w:r w:rsidRPr="00514706">
              <w:t>somnifer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E200E0A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64" w14:textId="6EC7716B" w:rsidTr="00A45976">
        <w:trPr>
          <w:trHeight w:val="300"/>
        </w:trPr>
        <w:tc>
          <w:tcPr>
            <w:tcW w:w="3237" w:type="dxa"/>
            <w:noWrap/>
            <w:hideMark/>
          </w:tcPr>
          <w:p w14:paraId="289BC563" w14:textId="77777777" w:rsidR="00A45976" w:rsidRPr="00514706" w:rsidRDefault="00A45976">
            <w:proofErr w:type="spellStart"/>
            <w:r w:rsidRPr="00514706">
              <w:t>ziprasidone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74570343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A45976" w:rsidRPr="00514706" w14:paraId="289BC566" w14:textId="49252909" w:rsidTr="00A45976">
        <w:trPr>
          <w:trHeight w:val="300"/>
        </w:trPr>
        <w:tc>
          <w:tcPr>
            <w:tcW w:w="3237" w:type="dxa"/>
            <w:noWrap/>
            <w:hideMark/>
          </w:tcPr>
          <w:p w14:paraId="289BC565" w14:textId="77777777" w:rsidR="00A45976" w:rsidRPr="00514706" w:rsidRDefault="00A45976">
            <w:proofErr w:type="spellStart"/>
            <w:r w:rsidRPr="00514706">
              <w:t>ziprasidone+lithium</w:t>
            </w:r>
            <w:proofErr w:type="spellEnd"/>
            <w:r w:rsidRPr="00514706">
              <w:t>/</w:t>
            </w:r>
            <w:proofErr w:type="spellStart"/>
            <w:r w:rsidRPr="00514706">
              <w:t>divalproate</w:t>
            </w:r>
            <w:proofErr w:type="spellEnd"/>
            <w:r w:rsidRPr="00514706">
              <w:t xml:space="preserve"> </w:t>
            </w:r>
          </w:p>
        </w:tc>
        <w:tc>
          <w:tcPr>
            <w:tcW w:w="6823" w:type="dxa"/>
          </w:tcPr>
          <w:p w14:paraId="31A41650" w14:textId="77777777" w:rsidR="00A45976" w:rsidRPr="00E121E1" w:rsidRDefault="00A45976">
            <w:pPr>
              <w:rPr>
                <w:rFonts w:ascii="Times New Roman" w:hAnsi="Times New Roman" w:cs="Times New Roman"/>
              </w:rPr>
            </w:pPr>
          </w:p>
        </w:tc>
      </w:tr>
      <w:tr w:rsidR="00836B0B" w:rsidRPr="00836B0B" w14:paraId="437562D1" w14:textId="77777777" w:rsidTr="00A45976">
        <w:trPr>
          <w:trHeight w:val="300"/>
        </w:trPr>
        <w:tc>
          <w:tcPr>
            <w:tcW w:w="3237" w:type="dxa"/>
            <w:noWrap/>
          </w:tcPr>
          <w:p w14:paraId="1AF266BC" w14:textId="362E0D3D" w:rsidR="00836B0B" w:rsidRPr="00836B0B" w:rsidRDefault="00836B0B">
            <w:pPr>
              <w:rPr>
                <w:lang w:val="en-US"/>
              </w:rPr>
            </w:pPr>
            <w:r w:rsidRPr="00836B0B">
              <w:rPr>
                <w:highlight w:val="yellow"/>
                <w:lang w:val="en-US"/>
              </w:rPr>
              <w:lastRenderedPageBreak/>
              <w:t>Interpersonal and social rhythm therapy</w:t>
            </w:r>
          </w:p>
        </w:tc>
        <w:tc>
          <w:tcPr>
            <w:tcW w:w="6823" w:type="dxa"/>
          </w:tcPr>
          <w:p w14:paraId="1704642F" w14:textId="7DA46211" w:rsidR="00836B0B" w:rsidRPr="00E121E1" w:rsidRDefault="00836B0B">
            <w:pPr>
              <w:rPr>
                <w:rFonts w:ascii="Times New Roman" w:hAnsi="Times New Roman" w:cs="Times New Roman"/>
                <w:lang w:val="en-US"/>
              </w:rPr>
            </w:pPr>
            <w:r w:rsidRPr="00E121E1">
              <w:rPr>
                <w:rFonts w:ascii="Times New Roman" w:hAnsi="Times New Roman" w:cs="Times New Roman"/>
                <w:lang w:val="en-US"/>
              </w:rPr>
              <w:t>Interpersonal and social rhythm therapy (IPSRT)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>is an individual therapy with two components: interpersonal problem solving and social rhythm regularization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, such as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maintaining regular sleep/wake and other daily routines. </w:t>
            </w:r>
          </w:p>
          <w:p w14:paraId="4EE798F1" w14:textId="77777777" w:rsidR="00836B0B" w:rsidRPr="00E121E1" w:rsidRDefault="00836B0B">
            <w:pPr>
              <w:rPr>
                <w:rFonts w:ascii="Times New Roman" w:hAnsi="Times New Roman" w:cs="Times New Roman"/>
                <w:lang w:val="en-US"/>
              </w:rPr>
            </w:pPr>
          </w:p>
          <w:p w14:paraId="605BF93C" w14:textId="56843278" w:rsidR="00836B0B" w:rsidRPr="00E121E1" w:rsidRDefault="00836B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Miklowitz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DJ,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Efthimiou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 xml:space="preserve"> O, Furukawa TA, Scott J, McLaren R, Geddes JR, Cipriani A. Adjunctive Psychotherapy for Bipolar Disorder: A Systematic Review and Component Network Meta-analysis. JAMA Psychiatry. 2021;</w:t>
            </w:r>
            <w:r w:rsidR="001E12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21E1">
              <w:rPr>
                <w:rFonts w:ascii="Times New Roman" w:hAnsi="Times New Roman" w:cs="Times New Roman"/>
                <w:lang w:val="en-US"/>
              </w:rPr>
              <w:t xml:space="preserve">78(2):141-150. </w:t>
            </w:r>
            <w:proofErr w:type="spellStart"/>
            <w:r w:rsidRPr="00E121E1">
              <w:rPr>
                <w:rFonts w:ascii="Times New Roman" w:hAnsi="Times New Roman" w:cs="Times New Roman"/>
                <w:lang w:val="en-US"/>
              </w:rPr>
              <w:t>doi</w:t>
            </w:r>
            <w:proofErr w:type="spellEnd"/>
            <w:r w:rsidRPr="00E121E1">
              <w:rPr>
                <w:rFonts w:ascii="Times New Roman" w:hAnsi="Times New Roman" w:cs="Times New Roman"/>
                <w:lang w:val="en-US"/>
              </w:rPr>
              <w:t>: 10.1001/jamapsychiatry.2020.2993.</w:t>
            </w:r>
          </w:p>
        </w:tc>
      </w:tr>
    </w:tbl>
    <w:p w14:paraId="289BC567" w14:textId="77777777" w:rsidR="00202A12" w:rsidRPr="00836B0B" w:rsidRDefault="00202A12" w:rsidP="00134340">
      <w:pPr>
        <w:rPr>
          <w:lang w:val="en-US"/>
        </w:rPr>
      </w:pPr>
    </w:p>
    <w:sectPr w:rsidR="00202A12" w:rsidRPr="00836B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ssandro Miola" w:date="2023-09-07T00:48:00Z" w:initials="AM">
    <w:p w14:paraId="18FAFBFF" w14:textId="77777777" w:rsidR="00997733" w:rsidRDefault="00997733" w:rsidP="00636AAD">
      <w:r>
        <w:rPr>
          <w:rStyle w:val="Rimandocommento"/>
        </w:rPr>
        <w:annotationRef/>
      </w:r>
      <w:r>
        <w:rPr>
          <w:color w:val="000000"/>
          <w:sz w:val="20"/>
          <w:szCs w:val="20"/>
        </w:rPr>
        <w:t>Toglierei, nel materiale suppl. della network meta-analysis di Miklowitz scrivono:</w:t>
      </w:r>
    </w:p>
    <w:p w14:paraId="6FA22F97" w14:textId="77777777" w:rsidR="00997733" w:rsidRDefault="00997733" w:rsidP="00636AAD"/>
    <w:p w14:paraId="64E4A560" w14:textId="77777777" w:rsidR="00997733" w:rsidRDefault="00997733" w:rsidP="00636AAD">
      <w:r>
        <w:rPr>
          <w:color w:val="000000"/>
          <w:sz w:val="20"/>
          <w:szCs w:val="20"/>
        </w:rPr>
        <w:t xml:space="preserve">If the treatment involves CBT techniques plus psychoeducation, classify as CBT. </w:t>
      </w:r>
    </w:p>
  </w:comment>
  <w:comment w:id="1" w:author="Alessandro Miola" w:date="2023-09-06T22:23:00Z" w:initials="AM">
    <w:p w14:paraId="1A5678B1" w14:textId="30CBC4FE" w:rsidR="00F805F1" w:rsidRDefault="00F805F1" w:rsidP="00607545">
      <w:r>
        <w:rPr>
          <w:rStyle w:val="Rimandocommento"/>
        </w:rPr>
        <w:annotationRef/>
      </w:r>
      <w:r>
        <w:rPr>
          <w:color w:val="000000"/>
          <w:sz w:val="20"/>
          <w:szCs w:val="20"/>
        </w:rPr>
        <w:t>Invertirei:</w:t>
      </w:r>
    </w:p>
    <w:p w14:paraId="7F1B6B31" w14:textId="77777777" w:rsidR="00F805F1" w:rsidRDefault="00F805F1" w:rsidP="00607545">
      <w:r>
        <w:rPr>
          <w:color w:val="000000"/>
          <w:sz w:val="20"/>
          <w:szCs w:val="20"/>
        </w:rPr>
        <w:t>Brief psychoeducation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E4A560" w15:done="0"/>
  <w15:commentEx w15:paraId="7F1B6B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39C60" w16cex:dateUtc="2023-09-06T22:48:00Z"/>
  <w16cex:commentExtensible w16cex:durableId="28A37A7E" w16cex:dateUtc="2023-09-06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E4A560" w16cid:durableId="28A39C60"/>
  <w16cid:commentId w16cid:paraId="7F1B6B31" w16cid:durableId="28A37A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andro Miola">
    <w15:presenceInfo w15:providerId="Windows Live" w15:userId="226d883dfec7e9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1C"/>
    <w:rsid w:val="00053003"/>
    <w:rsid w:val="00122809"/>
    <w:rsid w:val="00134340"/>
    <w:rsid w:val="001E12DA"/>
    <w:rsid w:val="00202A12"/>
    <w:rsid w:val="00206715"/>
    <w:rsid w:val="0042001C"/>
    <w:rsid w:val="004472BB"/>
    <w:rsid w:val="004A0A2E"/>
    <w:rsid w:val="00514706"/>
    <w:rsid w:val="006D6F8A"/>
    <w:rsid w:val="00823CD3"/>
    <w:rsid w:val="00824404"/>
    <w:rsid w:val="00836B0B"/>
    <w:rsid w:val="00997733"/>
    <w:rsid w:val="00A45976"/>
    <w:rsid w:val="00A561F3"/>
    <w:rsid w:val="00B51064"/>
    <w:rsid w:val="00BD3900"/>
    <w:rsid w:val="00C436D2"/>
    <w:rsid w:val="00C7741C"/>
    <w:rsid w:val="00CE6529"/>
    <w:rsid w:val="00E121E1"/>
    <w:rsid w:val="00ED1344"/>
    <w:rsid w:val="00F03273"/>
    <w:rsid w:val="00F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C473"/>
  <w15:chartTrackingRefBased/>
  <w15:docId w15:val="{80F88071-EE16-4E5F-941E-C02CD97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42001C"/>
  </w:style>
  <w:style w:type="character" w:styleId="Rimandocommento">
    <w:name w:val="annotation reference"/>
    <w:basedOn w:val="Carpredefinitoparagrafo"/>
    <w:uiPriority w:val="99"/>
    <w:semiHidden/>
    <w:unhideWhenUsed/>
    <w:rsid w:val="00F805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805F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805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805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805F1"/>
    <w:rPr>
      <w:b/>
      <w:bCs/>
      <w:sz w:val="20"/>
      <w:szCs w:val="20"/>
    </w:rPr>
  </w:style>
  <w:style w:type="paragraph" w:customStyle="1" w:styleId="Default">
    <w:name w:val="Default"/>
    <w:rsid w:val="00F805F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 Prisco</dc:creator>
  <cp:keywords/>
  <dc:description/>
  <cp:lastModifiedBy>Alessandro Miola</cp:lastModifiedBy>
  <cp:revision>2</cp:revision>
  <dcterms:created xsi:type="dcterms:W3CDTF">2023-09-06T22:50:00Z</dcterms:created>
  <dcterms:modified xsi:type="dcterms:W3CDTF">2023-09-06T22:50:00Z</dcterms:modified>
</cp:coreProperties>
</file>