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5DEA" w14:textId="1AA5534A" w:rsidR="00193BE2" w:rsidRPr="00193BE2" w:rsidRDefault="00193BE2">
      <w:pPr>
        <w:rPr>
          <w:rFonts w:ascii="Tw Cen MT" w:hAnsi="Tw Cen MT"/>
          <w:b/>
          <w:bCs/>
          <w:sz w:val="32"/>
          <w:szCs w:val="32"/>
        </w:rPr>
      </w:pPr>
      <w:r w:rsidRPr="00193BE2">
        <w:rPr>
          <w:rFonts w:ascii="Tw Cen MT" w:hAnsi="Tw Cen MT"/>
          <w:b/>
          <w:bCs/>
          <w:sz w:val="32"/>
          <w:szCs w:val="32"/>
        </w:rPr>
        <w:t>DESCRIÇÃO</w:t>
      </w:r>
    </w:p>
    <w:p w14:paraId="52A68B0C" w14:textId="278AD966" w:rsidR="00193BE2" w:rsidRDefault="00193BE2" w:rsidP="00193B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3BE2">
        <w:rPr>
          <w:rFonts w:ascii="Times New Roman" w:hAnsi="Times New Roman" w:cs="Times New Roman"/>
          <w:sz w:val="26"/>
          <w:szCs w:val="26"/>
        </w:rPr>
        <w:t xml:space="preserve">A calculadora </w:t>
      </w:r>
      <w:r w:rsidRPr="00193BE2">
        <w:rPr>
          <w:rFonts w:ascii="Times New Roman" w:hAnsi="Times New Roman" w:cs="Times New Roman"/>
          <w:b/>
          <w:bCs/>
          <w:sz w:val="26"/>
          <w:szCs w:val="26"/>
        </w:rPr>
        <w:t xml:space="preserve">Atrito </w:t>
      </w:r>
      <w:r w:rsidRPr="00193BE2">
        <w:rPr>
          <w:rFonts w:ascii="Times New Roman" w:hAnsi="Times New Roman" w:cs="Times New Roman"/>
          <w:sz w:val="26"/>
          <w:szCs w:val="26"/>
        </w:rPr>
        <w:t xml:space="preserve">do módulo </w:t>
      </w:r>
      <w:r w:rsidRPr="00193BE2">
        <w:rPr>
          <w:rFonts w:ascii="Times New Roman" w:hAnsi="Times New Roman" w:cs="Times New Roman"/>
          <w:i/>
          <w:iCs/>
          <w:sz w:val="26"/>
          <w:szCs w:val="26"/>
        </w:rPr>
        <w:t>Concreto Protendido</w:t>
      </w:r>
      <w:r w:rsidRPr="00193BE2">
        <w:rPr>
          <w:rFonts w:ascii="Times New Roman" w:hAnsi="Times New Roman" w:cs="Times New Roman"/>
          <w:sz w:val="26"/>
          <w:szCs w:val="26"/>
        </w:rPr>
        <w:t xml:space="preserve"> e</w:t>
      </w:r>
      <w:r w:rsidRPr="00193BE2">
        <w:rPr>
          <w:rFonts w:ascii="Times New Roman" w:hAnsi="Times New Roman" w:cs="Times New Roman"/>
          <w:sz w:val="26"/>
          <w:szCs w:val="26"/>
        </w:rPr>
        <w:t xml:space="preserve">fetua o cálculo das perdas de protensão </w:t>
      </w:r>
      <w:r w:rsidRPr="00193BE2">
        <w:rPr>
          <w:rFonts w:ascii="Times New Roman" w:hAnsi="Times New Roman" w:cs="Times New Roman"/>
          <w:sz w:val="26"/>
          <w:szCs w:val="26"/>
        </w:rPr>
        <w:t xml:space="preserve">por atrito, em uma única seção, </w:t>
      </w:r>
      <w:r w:rsidRPr="00193BE2">
        <w:rPr>
          <w:rFonts w:ascii="Times New Roman" w:hAnsi="Times New Roman" w:cs="Times New Roman"/>
          <w:sz w:val="26"/>
          <w:szCs w:val="26"/>
        </w:rPr>
        <w:t>em peças de concreto protendido com cordoalha aderente segundo as prescrições da NBR 6118.</w:t>
      </w:r>
    </w:p>
    <w:p w14:paraId="14C2E551" w14:textId="77777777" w:rsidR="00193BE2" w:rsidRPr="00193BE2" w:rsidRDefault="00193BE2" w:rsidP="00193B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7EC0E3" w14:textId="0B941F4A" w:rsidR="00193BE2" w:rsidRPr="00193BE2" w:rsidRDefault="00193BE2" w:rsidP="00193BE2">
      <w:pPr>
        <w:rPr>
          <w:rFonts w:ascii="Tw Cen MT" w:hAnsi="Tw Cen MT"/>
          <w:b/>
          <w:bCs/>
          <w:sz w:val="32"/>
          <w:szCs w:val="32"/>
        </w:rPr>
      </w:pPr>
      <w:r>
        <w:rPr>
          <w:rFonts w:ascii="Tw Cen MT" w:hAnsi="Tw Cen MT"/>
          <w:b/>
          <w:bCs/>
          <w:sz w:val="32"/>
          <w:szCs w:val="32"/>
        </w:rPr>
        <w:t>PROCEDIMENTO DE CÁLCULO</w:t>
      </w:r>
    </w:p>
    <w:p w14:paraId="539AA5EF" w14:textId="7A9491E1" w:rsidR="00193BE2" w:rsidRPr="00193BE2" w:rsidRDefault="00193BE2" w:rsidP="00193BE2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 xml:space="preserve">O procedimento de cálculo da perda de protensão por atrito segue a bibliografia de Carvalho </w:t>
      </w:r>
      <w:r w:rsidRPr="00193BE2">
        <w:rPr>
          <w:rFonts w:ascii="Tw Cen MT" w:hAnsi="Tw Cen MT"/>
          <w:sz w:val="26"/>
          <w:szCs w:val="26"/>
        </w:rPr>
        <w:fldChar w:fldCharType="begin"/>
      </w:r>
      <w:r w:rsidRPr="00193BE2">
        <w:rPr>
          <w:rFonts w:ascii="Tw Cen MT" w:hAnsi="Tw Cen MT"/>
          <w:sz w:val="26"/>
          <w:szCs w:val="26"/>
        </w:rPr>
        <w:instrText xml:space="preserve"> ADDIN ZOTERO_ITEM CSL_CITATION {"citationID":"tE7GMVMW","properties":{"formattedCitation":"[1]","plainCitation":"[1]","noteIndex":0},"citationItems":[{"id":1192,"uris":["http://zotero.org/users/6863133/items/4KJWY7UP"],"uri":["http://zotero.org/users/6863133/items/4KJWY7UP"],"itemData":{"id":1192,"type":"book","abstract":"O livro apresenta um texto didático destinado a alunos de Engenharia Civil e profissionais que queiram aprofundar seus conhecimentos em Estruturas em Concreto Protendido. Trata, com detalhes, tanto da protensão com pré-tração como da protensão com pós-tração. Todos os capítulos apresentam exemplos didáticos, que mostram a aplicação prática dos conceitos contidos no texto básico e trazem bibliografia indicada para que os interessados possam se aprofundar nos respectivos assuntos.","edition":"2ª edição","ISBN":"978-85-7266-482-0","language":"Português","publisher":"Pini","source":"Amazon","title":"Estruturas em Concreto Protendido","author":[{"family":"Carvalho","given":"Roberto Chust"}],"issued":{"date-parts":[["2017",8,21]]}}}],"schema":"https://github.com/citation-style-language/schema/raw/master/csl-citation.json"} </w:instrText>
      </w:r>
      <w:r w:rsidRPr="00193BE2">
        <w:rPr>
          <w:rFonts w:ascii="Tw Cen MT" w:hAnsi="Tw Cen MT"/>
          <w:sz w:val="26"/>
          <w:szCs w:val="26"/>
        </w:rPr>
        <w:fldChar w:fldCharType="separate"/>
      </w:r>
      <w:r w:rsidRPr="00193BE2">
        <w:rPr>
          <w:rFonts w:ascii="Tw Cen MT" w:hAnsi="Tw Cen MT"/>
          <w:sz w:val="26"/>
          <w:szCs w:val="26"/>
        </w:rPr>
        <w:t>[1]</w:t>
      </w:r>
      <w:r w:rsidRPr="00193BE2">
        <w:rPr>
          <w:rFonts w:ascii="Tw Cen MT" w:hAnsi="Tw Cen MT"/>
          <w:sz w:val="26"/>
          <w:szCs w:val="26"/>
        </w:rPr>
        <w:fldChar w:fldCharType="end"/>
      </w: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 xml:space="preserve"> e também as prescrições do item 9.6.3.3.2.2 da NBR 6118 </w:t>
      </w:r>
      <w:r w:rsidRPr="00193BE2">
        <w:rPr>
          <w:rFonts w:ascii="Tw Cen MT" w:hAnsi="Tw Cen MT"/>
          <w:sz w:val="26"/>
          <w:szCs w:val="26"/>
        </w:rPr>
        <w:fldChar w:fldCharType="begin"/>
      </w:r>
      <w:r w:rsidRPr="00193BE2">
        <w:rPr>
          <w:rFonts w:ascii="Tw Cen MT" w:hAnsi="Tw Cen MT"/>
          <w:sz w:val="26"/>
          <w:szCs w:val="26"/>
        </w:rPr>
        <w:instrText xml:space="preserve"> ADDIN ZOTERO_ITEM CSL_CITATION {"citationID":"23plHXnN","properties":{"formattedCitation":"[2]","plainCitation":"[2]","noteIndex":0},"citationItems":[{"id":259,"uris":["http://zotero.org/users/6863133/items/YR2KS73U"],"uri":["http://zotero.org/users/6863133/items/YR2KS73U"],"itemData":{"id":259,"type":"book","event-place":"Rio de Janeiro","language":"Português","publisher":"ABNT","publisher-place":"Rio de Janeiro","title":"ABNT NBR 6118: Projeto de estruturas de concreto-procedimento","author":[{"family":"Associação Brasileira de Normas Técnicas","given":""}],"issued":{"date-parts":[["2014"]]}}}],"schema":"https://github.com/citation-style-language/schema/raw/master/csl-citation.json"} </w:instrText>
      </w:r>
      <w:r w:rsidRPr="00193BE2">
        <w:rPr>
          <w:rFonts w:ascii="Tw Cen MT" w:hAnsi="Tw Cen MT"/>
          <w:sz w:val="26"/>
          <w:szCs w:val="26"/>
        </w:rPr>
        <w:fldChar w:fldCharType="separate"/>
      </w:r>
      <w:r w:rsidRPr="00193BE2">
        <w:rPr>
          <w:rFonts w:ascii="Tw Cen MT" w:hAnsi="Tw Cen MT"/>
          <w:sz w:val="26"/>
          <w:szCs w:val="26"/>
        </w:rPr>
        <w:t>[2]</w:t>
      </w:r>
      <w:r w:rsidRPr="00193BE2">
        <w:rPr>
          <w:rFonts w:ascii="Tw Cen MT" w:hAnsi="Tw Cen MT"/>
          <w:sz w:val="26"/>
          <w:szCs w:val="26"/>
        </w:rPr>
        <w:fldChar w:fldCharType="end"/>
      </w: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>.</w:t>
      </w:r>
    </w:p>
    <w:p w14:paraId="6EDCAA6C" w14:textId="77777777" w:rsidR="00193BE2" w:rsidRPr="00193BE2" w:rsidRDefault="00193BE2" w:rsidP="00193BE2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>Para efetuar o cálculo da perda de protensão basta a aplicação da equação (1):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193BE2" w:rsidRPr="00193BE2" w14:paraId="28F3ADBD" w14:textId="77777777" w:rsidTr="00193BE2">
        <w:tc>
          <w:tcPr>
            <w:tcW w:w="7650" w:type="dxa"/>
          </w:tcPr>
          <w:p w14:paraId="2282E0F4" w14:textId="77777777" w:rsidR="00193BE2" w:rsidRPr="00193BE2" w:rsidRDefault="00193BE2" w:rsidP="00193BE2">
            <w:pPr>
              <w:spacing w:line="360" w:lineRule="auto"/>
              <w:jc w:val="both"/>
              <w:rPr>
                <w:rFonts w:ascii="Tw Cen MT" w:hAnsi="Tw Cen MT" w:cs="Times New Roman"/>
                <w:i/>
                <w:color w:val="000000" w:themeColor="text1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ΔP=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.[1-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-(</m:t>
                    </m:r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μ.∑α+k.x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844" w:type="dxa"/>
          </w:tcPr>
          <w:p w14:paraId="11FCC3E4" w14:textId="77777777" w:rsidR="00193BE2" w:rsidRPr="00193BE2" w:rsidRDefault="00193BE2" w:rsidP="00193BE2">
            <w:pPr>
              <w:spacing w:line="360" w:lineRule="auto"/>
              <w:jc w:val="right"/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</w:pPr>
            <w:r w:rsidRPr="00193BE2"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  <w:t>(1)</w:t>
            </w:r>
          </w:p>
        </w:tc>
      </w:tr>
    </w:tbl>
    <w:p w14:paraId="275CF012" w14:textId="77777777" w:rsidR="00193BE2" w:rsidRPr="00193BE2" w:rsidRDefault="00193BE2" w:rsidP="00193BE2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>O valor da carga final de protensão ao final da perda (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t+1</m:t>
            </m:r>
          </m:sup>
        </m:sSubSup>
      </m:oMath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>), tensão de protensão após a aplicação da perda (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t+1</m:t>
            </m:r>
          </m:sup>
        </m:sSubSup>
      </m:oMath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 xml:space="preserve">) e a perda de percentual são dadas pelas equações (2) a (4):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193BE2" w:rsidRPr="00193BE2" w14:paraId="2088BD1C" w14:textId="77777777" w:rsidTr="00193BE2">
        <w:tc>
          <w:tcPr>
            <w:tcW w:w="7650" w:type="dxa"/>
          </w:tcPr>
          <w:p w14:paraId="3372B629" w14:textId="77777777" w:rsidR="00193BE2" w:rsidRPr="00193BE2" w:rsidRDefault="00193BE2" w:rsidP="00193BE2">
            <w:pPr>
              <w:spacing w:line="360" w:lineRule="auto"/>
              <w:jc w:val="both"/>
              <w:rPr>
                <w:rFonts w:ascii="Tw Cen MT" w:hAnsi="Tw Cen MT" w:cs="Times New Roman"/>
                <w:i/>
                <w:iCs/>
                <w:color w:val="000000" w:themeColor="text1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t+1</m:t>
                    </m:r>
                  </m:sup>
                </m:sSub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-(</m:t>
                    </m:r>
                    <m:r>
                      <w:rPr>
                        <w:rFonts w:ascii="Cambria Math" w:eastAsia="Calibri" w:hAnsi="Cambria Math" w:cs="Times New Roman"/>
                        <w:sz w:val="26"/>
                        <w:szCs w:val="26"/>
                      </w:rPr>
                      <m:t>μ.∑α+k.x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844" w:type="dxa"/>
          </w:tcPr>
          <w:p w14:paraId="52C311A5" w14:textId="77777777" w:rsidR="00193BE2" w:rsidRPr="00193BE2" w:rsidRDefault="00193BE2" w:rsidP="00193BE2">
            <w:pPr>
              <w:spacing w:line="360" w:lineRule="auto"/>
              <w:jc w:val="right"/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</w:pPr>
            <w:r w:rsidRPr="00193BE2"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  <w:t>(2)</w:t>
            </w:r>
          </w:p>
        </w:tc>
      </w:tr>
      <w:tr w:rsidR="00193BE2" w:rsidRPr="00193BE2" w14:paraId="72B1E591" w14:textId="77777777" w:rsidTr="00193BE2">
        <w:tc>
          <w:tcPr>
            <w:tcW w:w="7650" w:type="dxa"/>
          </w:tcPr>
          <w:p w14:paraId="38CBB0AA" w14:textId="77777777" w:rsidR="00193BE2" w:rsidRPr="00193BE2" w:rsidRDefault="00193BE2" w:rsidP="00193BE2">
            <w:pPr>
              <w:spacing w:line="360" w:lineRule="auto"/>
              <w:jc w:val="both"/>
              <w:rPr>
                <w:rFonts w:ascii="Tw Cen MT" w:eastAsia="Calibri" w:hAnsi="Tw Cen MT" w:cs="Times New Roman"/>
                <w:iCs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t+1</m:t>
                    </m:r>
                  </m:sup>
                </m:sSub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t+1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6"/>
                            <w:szCs w:val="26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4" w:type="dxa"/>
          </w:tcPr>
          <w:p w14:paraId="79454D42" w14:textId="77777777" w:rsidR="00193BE2" w:rsidRPr="00193BE2" w:rsidRDefault="00193BE2" w:rsidP="00193BE2">
            <w:pPr>
              <w:spacing w:line="360" w:lineRule="auto"/>
              <w:jc w:val="right"/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</w:pPr>
            <w:r w:rsidRPr="00193BE2"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  <w:t>(3)</w:t>
            </w:r>
          </w:p>
        </w:tc>
      </w:tr>
      <w:tr w:rsidR="00193BE2" w:rsidRPr="00193BE2" w14:paraId="5D08DDF8" w14:textId="77777777" w:rsidTr="00193BE2">
        <w:tc>
          <w:tcPr>
            <w:tcW w:w="7650" w:type="dxa"/>
          </w:tcPr>
          <w:p w14:paraId="2DC0F0FA" w14:textId="77777777" w:rsidR="00193BE2" w:rsidRPr="00193BE2" w:rsidRDefault="00193BE2" w:rsidP="00193BE2">
            <w:pPr>
              <w:spacing w:line="360" w:lineRule="auto"/>
              <w:jc w:val="both"/>
              <w:rPr>
                <w:rFonts w:ascii="Tw Cen MT" w:eastAsia="Calibri" w:hAnsi="Tw Cen MT" w:cs="Times New Roman"/>
                <w:iCs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Δ%=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P/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.100</m:t>
                </m:r>
              </m:oMath>
            </m:oMathPara>
          </w:p>
        </w:tc>
        <w:tc>
          <w:tcPr>
            <w:tcW w:w="844" w:type="dxa"/>
          </w:tcPr>
          <w:p w14:paraId="5DE95FB0" w14:textId="77777777" w:rsidR="00193BE2" w:rsidRPr="00193BE2" w:rsidRDefault="00193BE2" w:rsidP="00193BE2">
            <w:pPr>
              <w:spacing w:line="360" w:lineRule="auto"/>
              <w:jc w:val="right"/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</w:pPr>
            <w:r w:rsidRPr="00193BE2"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  <w:t>(4)</w:t>
            </w:r>
          </w:p>
        </w:tc>
      </w:tr>
    </w:tbl>
    <w:p w14:paraId="383856AD" w14:textId="77777777" w:rsidR="00193BE2" w:rsidRPr="00193BE2" w:rsidRDefault="00193BE2" w:rsidP="00193BE2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>A perda percentual de tensão é dada pela equação (5):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844"/>
      </w:tblGrid>
      <w:tr w:rsidR="00193BE2" w:rsidRPr="00193BE2" w14:paraId="351F2EA1" w14:textId="77777777" w:rsidTr="00193BE2">
        <w:tc>
          <w:tcPr>
            <w:tcW w:w="7650" w:type="dxa"/>
          </w:tcPr>
          <w:p w14:paraId="6461EDAF" w14:textId="77777777" w:rsidR="00193BE2" w:rsidRPr="00193BE2" w:rsidRDefault="00193BE2" w:rsidP="00193BE2">
            <w:pPr>
              <w:spacing w:line="360" w:lineRule="auto"/>
              <w:jc w:val="both"/>
              <w:rPr>
                <w:rFonts w:ascii="Tw Cen MT" w:hAnsi="Tw Cen MT" w:cs="Times New Roman"/>
                <w:i/>
                <w:color w:val="000000" w:themeColor="text1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Δσ=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t+1</m:t>
                    </m:r>
                  </m:sup>
                </m:sSub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1BE82D51" w14:textId="77777777" w:rsidR="00193BE2" w:rsidRPr="00193BE2" w:rsidRDefault="00193BE2" w:rsidP="00193BE2">
            <w:pPr>
              <w:spacing w:line="360" w:lineRule="auto"/>
              <w:jc w:val="right"/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</w:pPr>
            <w:r w:rsidRPr="00193BE2"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  <w:t>(5)</w:t>
            </w:r>
          </w:p>
        </w:tc>
      </w:tr>
    </w:tbl>
    <w:p w14:paraId="7F5AAC1A" w14:textId="4AA63BFA" w:rsidR="00193BE2" w:rsidRPr="00193BE2" w:rsidRDefault="00193BE2" w:rsidP="00193BE2">
      <w:pPr>
        <w:rPr>
          <w:rFonts w:ascii="Tw Cen MT" w:hAnsi="Tw Cen MT"/>
          <w:b/>
          <w:bCs/>
          <w:sz w:val="32"/>
          <w:szCs w:val="32"/>
        </w:rPr>
      </w:pPr>
      <w:r w:rsidRPr="00193BE2">
        <w:rPr>
          <w:rFonts w:ascii="Tw Cen MT" w:hAnsi="Tw Cen MT"/>
          <w:b/>
          <w:bCs/>
          <w:sz w:val="32"/>
          <w:szCs w:val="32"/>
        </w:rPr>
        <w:t>SAÍDA DO PROCESSO DE CÁLCULO</w:t>
      </w:r>
    </w:p>
    <w:p w14:paraId="54894FAA" w14:textId="4670CD9B" w:rsidR="00193BE2" w:rsidRPr="00193BE2" w:rsidRDefault="00193BE2" w:rsidP="00193BE2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 xml:space="preserve">O programa informa como dado de saída </w:t>
      </w:r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 xml:space="preserve">as perdas de protensão do elemento estrutural na seção </w:t>
      </w:r>
      <m:oMath>
        <m:r>
          <w:rPr>
            <w:rFonts w:ascii="Cambria Math" w:hAnsi="Cambria Math" w:cs="Times New Roman"/>
            <w:color w:val="000000" w:themeColor="text1"/>
            <w:sz w:val="26"/>
            <w:szCs w:val="26"/>
          </w:rPr>
          <m:t>x</m:t>
        </m:r>
      </m:oMath>
      <w:r w:rsidRPr="00193BE2">
        <w:rPr>
          <w:rFonts w:ascii="Tw Cen MT" w:hAnsi="Tw Cen MT" w:cs="Times New Roman"/>
          <w:color w:val="000000" w:themeColor="text1"/>
          <w:sz w:val="26"/>
          <w:szCs w:val="26"/>
        </w:rPr>
        <w:t xml:space="preserve"> desejada. O detalhe dos resultados é apresentado no quadro a seguir: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4810"/>
      </w:tblGrid>
      <w:tr w:rsidR="00193BE2" w:rsidRPr="00E93145" w14:paraId="4F0938DD" w14:textId="77777777" w:rsidTr="00193BE2">
        <w:trPr>
          <w:jc w:val="center"/>
        </w:trPr>
        <w:tc>
          <w:tcPr>
            <w:tcW w:w="1508" w:type="dxa"/>
          </w:tcPr>
          <w:p w14:paraId="32C20E17" w14:textId="77777777" w:rsidR="00193BE2" w:rsidRPr="00E93145" w:rsidRDefault="00193BE2" w:rsidP="005E1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Formulação</w:t>
            </w:r>
          </w:p>
        </w:tc>
        <w:tc>
          <w:tcPr>
            <w:tcW w:w="4810" w:type="dxa"/>
          </w:tcPr>
          <w:p w14:paraId="6BB30D11" w14:textId="77777777" w:rsidR="00193BE2" w:rsidRPr="00E93145" w:rsidRDefault="00193BE2" w:rsidP="005E1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145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93BE2" w:rsidRPr="00E93145" w14:paraId="03837B59" w14:textId="77777777" w:rsidTr="00193BE2">
        <w:trPr>
          <w:jc w:val="center"/>
        </w:trPr>
        <w:tc>
          <w:tcPr>
            <w:tcW w:w="1508" w:type="dxa"/>
            <w:vAlign w:val="center"/>
          </w:tcPr>
          <w:p w14:paraId="2FD76182" w14:textId="77777777" w:rsidR="00193BE2" w:rsidRPr="00E93145" w:rsidRDefault="00193BE2" w:rsidP="005E1A96">
            <w:pPr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ΔP</m:t>
                </m:r>
              </m:oMath>
            </m:oMathPara>
          </w:p>
        </w:tc>
        <w:tc>
          <w:tcPr>
            <w:tcW w:w="4810" w:type="dxa"/>
            <w:vAlign w:val="center"/>
          </w:tcPr>
          <w:p w14:paraId="33BA0CA2" w14:textId="77777777" w:rsidR="00193BE2" w:rsidRPr="00E93145" w:rsidRDefault="00193BE2" w:rsidP="005E1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Perda de protensão 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</w:tr>
      <w:tr w:rsidR="00193BE2" w:rsidRPr="00E93145" w14:paraId="75292D8F" w14:textId="77777777" w:rsidTr="00193BE2">
        <w:trPr>
          <w:jc w:val="center"/>
        </w:trPr>
        <w:tc>
          <w:tcPr>
            <w:tcW w:w="1508" w:type="dxa"/>
            <w:vAlign w:val="center"/>
          </w:tcPr>
          <w:p w14:paraId="661FA64C" w14:textId="77777777" w:rsidR="00193BE2" w:rsidRPr="00E93145" w:rsidRDefault="00193BE2" w:rsidP="005E1A96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4810" w:type="dxa"/>
            <w:vAlign w:val="center"/>
          </w:tcPr>
          <w:p w14:paraId="77AE4F68" w14:textId="77777777" w:rsidR="00193BE2" w:rsidRPr="00E93145" w:rsidRDefault="00193BE2" w:rsidP="005E1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3145">
              <w:rPr>
                <w:rFonts w:ascii="Times New Roman" w:hAnsi="Times New Roman" w:cs="Times New Roman"/>
                <w:sz w:val="24"/>
                <w:szCs w:val="24"/>
              </w:rPr>
              <w:t xml:space="preserve">Força de Protensão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posterior as perdas</w:t>
            </w:r>
            <w:r w:rsidRPr="00E93145">
              <w:rPr>
                <w:rFonts w:ascii="Times New Roman" w:hAnsi="Times New Roman" w:cs="Times New Roman"/>
                <w:sz w:val="24"/>
                <w:szCs w:val="24"/>
              </w:rPr>
              <w:t xml:space="preserve"> no cabo na ancoragem (</w:t>
            </w:r>
            <w:proofErr w:type="spellStart"/>
            <w:r w:rsidRPr="00E93145"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  <w:r w:rsidRPr="00E9314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93BE2" w:rsidRPr="00E93145" w14:paraId="1885197A" w14:textId="77777777" w:rsidTr="00193BE2">
        <w:trPr>
          <w:jc w:val="center"/>
        </w:trPr>
        <w:tc>
          <w:tcPr>
            <w:tcW w:w="1508" w:type="dxa"/>
            <w:vAlign w:val="center"/>
          </w:tcPr>
          <w:p w14:paraId="47C5ACA0" w14:textId="77777777" w:rsidR="00193BE2" w:rsidRPr="00E93145" w:rsidRDefault="00193BE2" w:rsidP="005E1A96">
            <w:pPr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Δ%</m:t>
                </m:r>
              </m:oMath>
            </m:oMathPara>
          </w:p>
        </w:tc>
        <w:tc>
          <w:tcPr>
            <w:tcW w:w="4810" w:type="dxa"/>
            <w:vAlign w:val="center"/>
          </w:tcPr>
          <w:p w14:paraId="0FE32813" w14:textId="77777777" w:rsidR="00193BE2" w:rsidRPr="00E93145" w:rsidRDefault="00193BE2" w:rsidP="005E1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Perda de protensão em percentual</w:t>
            </w:r>
          </w:p>
        </w:tc>
      </w:tr>
      <w:tr w:rsidR="00193BE2" w:rsidRPr="00E93145" w14:paraId="47862DFB" w14:textId="77777777" w:rsidTr="00193BE2">
        <w:trPr>
          <w:jc w:val="center"/>
        </w:trPr>
        <w:tc>
          <w:tcPr>
            <w:tcW w:w="1508" w:type="dxa"/>
            <w:vAlign w:val="center"/>
          </w:tcPr>
          <w:p w14:paraId="452F161E" w14:textId="77777777" w:rsidR="00193BE2" w:rsidRPr="00E93145" w:rsidRDefault="00193BE2" w:rsidP="005E1A96">
            <w:pPr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p>
                </m:sSubSup>
              </m:oMath>
            </m:oMathPara>
          </w:p>
        </w:tc>
        <w:tc>
          <w:tcPr>
            <w:tcW w:w="4810" w:type="dxa"/>
            <w:vAlign w:val="center"/>
          </w:tcPr>
          <w:p w14:paraId="00EAB749" w14:textId="77777777" w:rsidR="00193BE2" w:rsidRPr="00E93145" w:rsidRDefault="00193BE2" w:rsidP="005E1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3145">
              <w:rPr>
                <w:rFonts w:ascii="Times New Roman" w:hAnsi="Times New Roman" w:cs="Times New Roman"/>
                <w:sz w:val="24"/>
                <w:szCs w:val="24"/>
              </w:rPr>
              <w:t xml:space="preserve">Tensão de protensão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posterior as perdas</w:t>
            </w:r>
            <w:r w:rsidRPr="00E93145">
              <w:rPr>
                <w:rFonts w:ascii="Times New Roman" w:hAnsi="Times New Roman" w:cs="Times New Roman"/>
                <w:sz w:val="24"/>
                <w:szCs w:val="24"/>
              </w:rPr>
              <w:t xml:space="preserve"> no cabo na ancoragem (</w:t>
            </w:r>
            <w:proofErr w:type="spellStart"/>
            <w:r w:rsidRPr="00E93145"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  <w:r w:rsidRPr="00E93145">
              <w:rPr>
                <w:rFonts w:ascii="Times New Roman" w:hAnsi="Times New Roman" w:cs="Times New Roman"/>
                <w:sz w:val="24"/>
                <w:szCs w:val="24"/>
              </w:rPr>
              <w:t>/m²)</w:t>
            </w:r>
          </w:p>
        </w:tc>
      </w:tr>
      <w:tr w:rsidR="00193BE2" w:rsidRPr="00E93145" w14:paraId="5869CC6A" w14:textId="77777777" w:rsidTr="00193BE2">
        <w:trPr>
          <w:jc w:val="center"/>
        </w:trPr>
        <w:tc>
          <w:tcPr>
            <w:tcW w:w="1508" w:type="dxa"/>
            <w:vAlign w:val="center"/>
          </w:tcPr>
          <w:p w14:paraId="019ED473" w14:textId="77777777" w:rsidR="00193BE2" w:rsidRPr="00E93145" w:rsidRDefault="00193BE2" w:rsidP="005E1A96">
            <w:pPr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Δσ</m:t>
                </m:r>
              </m:oMath>
            </m:oMathPara>
          </w:p>
        </w:tc>
        <w:tc>
          <w:tcPr>
            <w:tcW w:w="4810" w:type="dxa"/>
            <w:vAlign w:val="center"/>
          </w:tcPr>
          <w:p w14:paraId="1986835A" w14:textId="77777777" w:rsidR="00193BE2" w:rsidRPr="00E93145" w:rsidRDefault="00193BE2" w:rsidP="005E1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Perda de protensão 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/m²</w:t>
            </w:r>
          </w:p>
        </w:tc>
      </w:tr>
    </w:tbl>
    <w:p w14:paraId="2654A7EC" w14:textId="77777777" w:rsidR="00193BE2" w:rsidRDefault="00193BE2" w:rsidP="00193BE2">
      <w:pPr>
        <w:rPr>
          <w:rFonts w:ascii="Tw Cen MT" w:hAnsi="Tw Cen MT"/>
          <w:b/>
          <w:bCs/>
          <w:sz w:val="32"/>
          <w:szCs w:val="32"/>
        </w:rPr>
      </w:pPr>
    </w:p>
    <w:p w14:paraId="42FBAC5D" w14:textId="17DDF757" w:rsidR="00193BE2" w:rsidRPr="00193BE2" w:rsidRDefault="00193BE2" w:rsidP="00193BE2">
      <w:pPr>
        <w:rPr>
          <w:rFonts w:ascii="Tw Cen MT" w:hAnsi="Tw Cen MT"/>
          <w:b/>
          <w:bCs/>
          <w:sz w:val="32"/>
          <w:szCs w:val="32"/>
        </w:rPr>
      </w:pPr>
      <w:r>
        <w:rPr>
          <w:rFonts w:ascii="Tw Cen MT" w:hAnsi="Tw Cen MT"/>
          <w:b/>
          <w:bCs/>
          <w:sz w:val="32"/>
          <w:szCs w:val="32"/>
        </w:rPr>
        <w:t>EXEMPLO UTILIZANDO A PLATAFORMA</w:t>
      </w:r>
    </w:p>
    <w:p w14:paraId="6DD3EB9A" w14:textId="652DAB34" w:rsidR="00193BE2" w:rsidRDefault="003F0784" w:rsidP="003F0784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 w:rsidRPr="003F0784">
        <w:rPr>
          <w:rFonts w:ascii="Tw Cen MT" w:hAnsi="Tw Cen MT" w:cs="Times New Roman"/>
          <w:color w:val="000000" w:themeColor="text1"/>
          <w:sz w:val="26"/>
          <w:szCs w:val="26"/>
        </w:rPr>
        <w:t>O exemplo empreg</w:t>
      </w:r>
      <w:r>
        <w:rPr>
          <w:rFonts w:ascii="Tw Cen MT" w:hAnsi="Tw Cen MT" w:cs="Times New Roman"/>
          <w:color w:val="000000" w:themeColor="text1"/>
          <w:sz w:val="26"/>
          <w:szCs w:val="26"/>
        </w:rPr>
        <w:t>ado</w:t>
      </w:r>
      <w:r w:rsidRPr="003F0784">
        <w:rPr>
          <w:rFonts w:ascii="Tw Cen MT" w:hAnsi="Tw Cen MT" w:cs="Times New Roman"/>
          <w:color w:val="000000" w:themeColor="text1"/>
          <w:sz w:val="26"/>
          <w:szCs w:val="26"/>
        </w:rPr>
        <w:t xml:space="preserve"> é o de Rudloff </w:t>
      </w:r>
      <w:r>
        <w:rPr>
          <w:rFonts w:ascii="Tw Cen MT" w:hAnsi="Tw Cen MT" w:cs="Times New Roman"/>
          <w:color w:val="000000" w:themeColor="text1"/>
          <w:sz w:val="26"/>
          <w:szCs w:val="26"/>
        </w:rPr>
        <w:fldChar w:fldCharType="begin"/>
      </w:r>
      <w:r>
        <w:rPr>
          <w:rFonts w:ascii="Tw Cen MT" w:hAnsi="Tw Cen MT" w:cs="Times New Roman"/>
          <w:color w:val="000000" w:themeColor="text1"/>
          <w:sz w:val="26"/>
          <w:szCs w:val="26"/>
        </w:rPr>
        <w:instrText xml:space="preserve"> ADDIN ZOTERO_ITEM CSL_CITATION {"citationID":"WSBhhw2y","properties":{"formattedCitation":"[3]","plainCitation":"[3]","noteIndex":0},"citationItems":[{"id":1195,"uris":["http://zotero.org/users/6863133/items/8ZWF4FW5"],"uri":["http://zotero.org/users/6863133/items/8ZWF4FW5"],"itemData":{"id":1195,"type":"article","publisher":"Rudloff Industrial Ltda","title":"Perdas da Força de Protensão","URL":"http://www.rudloff.com.br/downloads/publicacao2_perdas_da_forca_de_protensao.pdf","author":[{"family":"Schmid","given":"Manfred Theodor"}],"issued":{"date-parts":[["1998"]]}}}],"schema":"https://github.com/citation-style-language/schema/raw/master/csl-citation.json"} </w:instrText>
      </w:r>
      <w:r>
        <w:rPr>
          <w:rFonts w:ascii="Tw Cen MT" w:hAnsi="Tw Cen MT" w:cs="Times New Roman"/>
          <w:color w:val="000000" w:themeColor="text1"/>
          <w:sz w:val="26"/>
          <w:szCs w:val="26"/>
        </w:rPr>
        <w:fldChar w:fldCharType="separate"/>
      </w:r>
      <w:r w:rsidRPr="003F0784">
        <w:rPr>
          <w:rFonts w:ascii="Tw Cen MT" w:hAnsi="Tw Cen MT" w:cs="Times New Roman"/>
          <w:color w:val="000000" w:themeColor="text1"/>
          <w:sz w:val="26"/>
          <w:szCs w:val="26"/>
        </w:rPr>
        <w:t>[3]</w:t>
      </w:r>
      <w:r>
        <w:rPr>
          <w:rFonts w:ascii="Tw Cen MT" w:hAnsi="Tw Cen MT" w:cs="Times New Roman"/>
          <w:color w:val="000000" w:themeColor="text1"/>
          <w:sz w:val="26"/>
          <w:szCs w:val="26"/>
        </w:rPr>
        <w:fldChar w:fldCharType="end"/>
      </w:r>
      <w:r>
        <w:rPr>
          <w:rFonts w:ascii="Tw Cen MT" w:hAnsi="Tw Cen MT" w:cs="Times New Roman"/>
          <w:color w:val="000000" w:themeColor="text1"/>
          <w:sz w:val="26"/>
          <w:szCs w:val="26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F0784" w14:paraId="00841626" w14:textId="77777777" w:rsidTr="003F0784">
        <w:tc>
          <w:tcPr>
            <w:tcW w:w="8494" w:type="dxa"/>
          </w:tcPr>
          <w:p w14:paraId="5CDC0A4D" w14:textId="4DCA02BD" w:rsidR="003F0784" w:rsidRDefault="003F0784" w:rsidP="003F0784">
            <w:pPr>
              <w:spacing w:line="360" w:lineRule="auto"/>
              <w:jc w:val="both"/>
              <w:rPr>
                <w:rFonts w:ascii="Tw Cen MT" w:hAnsi="Tw Cen MT" w:cs="Times New Roman"/>
                <w:color w:val="000000" w:themeColor="text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9D7F2B6" wp14:editId="30EFF79A">
                  <wp:extent cx="5273749" cy="1181384"/>
                  <wp:effectExtent l="0" t="0" r="317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688" cy="118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DE3BA" w14:textId="70B411CA" w:rsidR="003F0784" w:rsidRDefault="003F0784" w:rsidP="003F0784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>
        <w:rPr>
          <w:rFonts w:ascii="Tw Cen MT" w:hAnsi="Tw Cen MT" w:cs="Times New Roman"/>
          <w:color w:val="000000" w:themeColor="text1"/>
          <w:sz w:val="26"/>
          <w:szCs w:val="26"/>
        </w:rPr>
        <w:t>Dados de entrada:</w:t>
      </w:r>
    </w:p>
    <w:p w14:paraId="471B5A4F" w14:textId="081323D7" w:rsidR="003F0784" w:rsidRPr="00E24341" w:rsidRDefault="00E24341" w:rsidP="003F0784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6"/>
              <w:szCs w:val="26"/>
            </w:rPr>
            <m:t>μ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=0,1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0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rad</m:t>
              </m:r>
            </m:den>
          </m:f>
        </m:oMath>
      </m:oMathPara>
    </w:p>
    <w:p w14:paraId="58DF3895" w14:textId="470A5CF2" w:rsidR="003F0784" w:rsidRPr="00E24341" w:rsidRDefault="00E24341" w:rsidP="003F0784">
      <w:pPr>
        <w:spacing w:line="360" w:lineRule="auto"/>
        <w:jc w:val="both"/>
        <w:rPr>
          <w:rFonts w:ascii="Tw Cen MT" w:hAnsi="Tw Cen MT" w:cs="Times New Roman"/>
          <w:i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6"/>
              <w:szCs w:val="26"/>
            </w:rPr>
            <m:t>k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=0,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000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1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2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m</m:t>
              </m:r>
            </m:den>
          </m:f>
        </m:oMath>
      </m:oMathPara>
    </w:p>
    <w:p w14:paraId="7BFCC0E8" w14:textId="1B14D38E" w:rsidR="00193BE2" w:rsidRPr="0093158C" w:rsidRDefault="00E24341" w:rsidP="00193BE2">
      <w:pPr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899,39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 xml:space="preserve"> kN</m:t>
          </m:r>
        </m:oMath>
      </m:oMathPara>
    </w:p>
    <w:p w14:paraId="4631600D" w14:textId="171A2138" w:rsidR="0093158C" w:rsidRPr="00E24341" w:rsidRDefault="0093158C" w:rsidP="00193BE2">
      <w:pPr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149,60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5F188BF" w14:textId="70A00C71" w:rsidR="00E24341" w:rsidRPr="00E24341" w:rsidRDefault="00E24341" w:rsidP="00193BE2">
      <w:pPr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7,30 m</m:t>
          </m:r>
        </m:oMath>
      </m:oMathPara>
    </w:p>
    <w:p w14:paraId="470A3C7E" w14:textId="596E7E4A" w:rsidR="00E24341" w:rsidRPr="00E24341" w:rsidRDefault="00E24341" w:rsidP="00193BE2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6,012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(6 ϕ 12,7mm)</m:t>
          </m:r>
        </m:oMath>
      </m:oMathPara>
    </w:p>
    <w:p w14:paraId="5FAF647A" w14:textId="08B99168" w:rsidR="00E24341" w:rsidRPr="00E24341" w:rsidRDefault="00E24341" w:rsidP="00193BE2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=0,1230 rad</m:t>
          </m:r>
        </m:oMath>
      </m:oMathPara>
    </w:p>
    <w:p w14:paraId="19D7302B" w14:textId="77777777" w:rsidR="007E0153" w:rsidRDefault="007E0153" w:rsidP="007E0153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w:r w:rsidRPr="007E0153">
        <w:rPr>
          <w:rFonts w:ascii="Tw Cen MT" w:hAnsi="Tw Cen MT" w:cs="Times New Roman"/>
          <w:color w:val="000000" w:themeColor="text1"/>
          <w:sz w:val="26"/>
          <w:szCs w:val="26"/>
        </w:rPr>
        <w:t>Determinando</w:t>
      </w:r>
      <w:r>
        <w:rPr>
          <w:rFonts w:ascii="Tw Cen MT" w:hAnsi="Tw Cen MT" w:cs="Times New Roman"/>
          <w:color w:val="000000" w:themeColor="text1"/>
          <w:sz w:val="26"/>
          <w:szCs w:val="26"/>
        </w:rPr>
        <w:t xml:space="preserve"> os valores da perda:</w:t>
      </w:r>
    </w:p>
    <w:p w14:paraId="6F5F982B" w14:textId="6E0AEF63" w:rsidR="007E0153" w:rsidRPr="007E0153" w:rsidRDefault="007E0153" w:rsidP="007E0153">
      <w:pPr>
        <w:spacing w:line="360" w:lineRule="auto"/>
        <w:jc w:val="both"/>
        <w:rPr>
          <w:rFonts w:ascii="Tw Cen MT" w:eastAsiaTheme="minorEastAsia" w:hAnsi="Tw Cen MT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>μ.∑α+k.x=0,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0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27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3</m:t>
          </m:r>
        </m:oMath>
      </m:oMathPara>
    </w:p>
    <w:p w14:paraId="415D8C74" w14:textId="334A453D" w:rsidR="007E0153" w:rsidRPr="007E0153" w:rsidRDefault="007E0153" w:rsidP="007E0153">
      <w:pPr>
        <w:spacing w:line="360" w:lineRule="auto"/>
        <w:jc w:val="both"/>
        <w:rPr>
          <w:rFonts w:ascii="Tw Cen MT" w:hAnsi="Tw Cen MT" w:cs="Times New Roman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6"/>
              <w:szCs w:val="26"/>
            </w:rPr>
            <m:t>899,39</m:t>
          </m:r>
          <m:r>
            <w:rPr>
              <w:rFonts w:ascii="Cambria Math" w:hAnsi="Cambria Math" w:cs="Times New Roman"/>
              <w:sz w:val="24"/>
              <w:szCs w:val="24"/>
            </w:rPr>
            <m:t>.[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-(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0,027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875,11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kN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0E376EA" w14:textId="3DE41E99" w:rsidR="009D77F2" w:rsidRPr="007C70CD" w:rsidRDefault="009D77F2" w:rsidP="00193BE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Δ%=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899,39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 xml:space="preserve"> -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875,11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6"/>
                  <w:szCs w:val="26"/>
                </w:rPr>
                <m:t>899,39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=0,027=2,7%</m:t>
          </m:r>
        </m:oMath>
      </m:oMathPara>
    </w:p>
    <w:p w14:paraId="737695BE" w14:textId="5F91E071" w:rsidR="007C70CD" w:rsidRDefault="007C70CD" w:rsidP="007C70CD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Perda total de 2,7%</w:t>
      </w:r>
    </w:p>
    <w:p w14:paraId="7A5C3600" w14:textId="77777777" w:rsidR="007C70CD" w:rsidRPr="009D77F2" w:rsidRDefault="007C70CD" w:rsidP="00193BE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D65072" w14:textId="2EE243B8" w:rsidR="00691C52" w:rsidRDefault="00193BE2">
      <w:pPr>
        <w:rPr>
          <w:rFonts w:ascii="Tw Cen MT" w:hAnsi="Tw Cen MT"/>
          <w:b/>
          <w:bCs/>
          <w:sz w:val="32"/>
          <w:szCs w:val="32"/>
        </w:rPr>
      </w:pPr>
      <w:r>
        <w:rPr>
          <w:rFonts w:ascii="Tw Cen MT" w:hAnsi="Tw Cen MT"/>
          <w:b/>
          <w:bCs/>
          <w:sz w:val="32"/>
          <w:szCs w:val="32"/>
        </w:rPr>
        <w:t>REFERÊNCIAS</w:t>
      </w:r>
    </w:p>
    <w:p w14:paraId="156476DB" w14:textId="77777777" w:rsidR="003F0784" w:rsidRPr="003F0784" w:rsidRDefault="00193BE2" w:rsidP="003F0784">
      <w:pPr>
        <w:pStyle w:val="Bibliografia"/>
        <w:rPr>
          <w:rFonts w:ascii="Tw Cen MT" w:hAnsi="Tw Cen MT" w:cs="Times New Roman"/>
          <w:sz w:val="26"/>
          <w:szCs w:val="24"/>
        </w:rPr>
      </w:pPr>
      <w:r w:rsidRPr="00193BE2">
        <w:fldChar w:fldCharType="begin"/>
      </w:r>
      <w:r w:rsidRPr="00193BE2">
        <w:instrText xml:space="preserve"> ADDIN ZOTERO_BIBL {"uncited":[],"omitted":[],"custom":[]} CSL_BIBLIOGRAPHY </w:instrText>
      </w:r>
      <w:r w:rsidRPr="00193BE2">
        <w:fldChar w:fldCharType="separate"/>
      </w:r>
      <w:r w:rsidR="003F0784" w:rsidRPr="003F0784">
        <w:rPr>
          <w:rFonts w:ascii="Tw Cen MT" w:hAnsi="Tw Cen MT" w:cs="Times New Roman"/>
          <w:sz w:val="26"/>
          <w:szCs w:val="24"/>
        </w:rPr>
        <w:t>[1]</w:t>
      </w:r>
      <w:r w:rsidR="003F0784" w:rsidRPr="003F0784">
        <w:rPr>
          <w:rFonts w:ascii="Tw Cen MT" w:hAnsi="Tw Cen MT" w:cs="Times New Roman"/>
          <w:sz w:val="26"/>
          <w:szCs w:val="24"/>
        </w:rPr>
        <w:tab/>
        <w:t>Carvalho RC. Estruturas em Concreto Protendido. 2</w:t>
      </w:r>
      <w:r w:rsidR="003F0784" w:rsidRPr="003F0784">
        <w:rPr>
          <w:rFonts w:ascii="Tw Cen MT" w:hAnsi="Tw Cen MT" w:cs="Times New Roman"/>
          <w:sz w:val="26"/>
          <w:szCs w:val="24"/>
          <w:vertAlign w:val="superscript"/>
        </w:rPr>
        <w:t>a</w:t>
      </w:r>
      <w:r w:rsidR="003F0784" w:rsidRPr="003F0784">
        <w:rPr>
          <w:rFonts w:ascii="Tw Cen MT" w:hAnsi="Tw Cen MT" w:cs="Times New Roman"/>
          <w:sz w:val="26"/>
          <w:szCs w:val="24"/>
        </w:rPr>
        <w:t xml:space="preserve"> edição. </w:t>
      </w:r>
      <w:proofErr w:type="spellStart"/>
      <w:r w:rsidR="003F0784" w:rsidRPr="003F0784">
        <w:rPr>
          <w:rFonts w:ascii="Tw Cen MT" w:hAnsi="Tw Cen MT" w:cs="Times New Roman"/>
          <w:sz w:val="26"/>
          <w:szCs w:val="24"/>
        </w:rPr>
        <w:t>Pini</w:t>
      </w:r>
      <w:proofErr w:type="spellEnd"/>
      <w:r w:rsidR="003F0784" w:rsidRPr="003F0784">
        <w:rPr>
          <w:rFonts w:ascii="Tw Cen MT" w:hAnsi="Tw Cen MT" w:cs="Times New Roman"/>
          <w:sz w:val="26"/>
          <w:szCs w:val="24"/>
        </w:rPr>
        <w:t>; 2017.</w:t>
      </w:r>
    </w:p>
    <w:p w14:paraId="4A306CA0" w14:textId="77777777" w:rsidR="003F0784" w:rsidRPr="003F0784" w:rsidRDefault="003F0784" w:rsidP="003F0784">
      <w:pPr>
        <w:pStyle w:val="Bibliografia"/>
        <w:rPr>
          <w:rFonts w:ascii="Tw Cen MT" w:hAnsi="Tw Cen MT" w:cs="Times New Roman"/>
          <w:sz w:val="26"/>
          <w:szCs w:val="24"/>
        </w:rPr>
      </w:pPr>
      <w:r w:rsidRPr="003F0784">
        <w:rPr>
          <w:rFonts w:ascii="Tw Cen MT" w:hAnsi="Tw Cen MT" w:cs="Times New Roman"/>
          <w:sz w:val="26"/>
          <w:szCs w:val="24"/>
        </w:rPr>
        <w:t>[2]</w:t>
      </w:r>
      <w:r w:rsidRPr="003F0784">
        <w:rPr>
          <w:rFonts w:ascii="Tw Cen MT" w:hAnsi="Tw Cen MT" w:cs="Times New Roman"/>
          <w:sz w:val="26"/>
          <w:szCs w:val="24"/>
        </w:rPr>
        <w:tab/>
        <w:t>Associação Brasileira de Normas Técnicas. ABNT NBR 6118: Projeto de estruturas de concreto-procedimento. Rio de Janeiro: ABNT; 2014.</w:t>
      </w:r>
    </w:p>
    <w:p w14:paraId="3EC41163" w14:textId="77777777" w:rsidR="003F0784" w:rsidRPr="003F0784" w:rsidRDefault="003F0784" w:rsidP="003F0784">
      <w:pPr>
        <w:pStyle w:val="Bibliografia"/>
        <w:rPr>
          <w:rFonts w:ascii="Tw Cen MT" w:hAnsi="Tw Cen MT" w:cs="Times New Roman"/>
          <w:sz w:val="26"/>
          <w:szCs w:val="24"/>
        </w:rPr>
      </w:pPr>
      <w:r w:rsidRPr="003F0784">
        <w:rPr>
          <w:rFonts w:ascii="Tw Cen MT" w:hAnsi="Tw Cen MT" w:cs="Times New Roman"/>
          <w:sz w:val="26"/>
          <w:szCs w:val="24"/>
        </w:rPr>
        <w:t>[3]</w:t>
      </w:r>
      <w:r w:rsidRPr="003F0784">
        <w:rPr>
          <w:rFonts w:ascii="Tw Cen MT" w:hAnsi="Tw Cen MT" w:cs="Times New Roman"/>
          <w:sz w:val="26"/>
          <w:szCs w:val="24"/>
        </w:rPr>
        <w:tab/>
        <w:t>Schmid MT. Perdas da Força de Protensão 1998.</w:t>
      </w:r>
    </w:p>
    <w:p w14:paraId="7A02871C" w14:textId="37B97748" w:rsidR="00193BE2" w:rsidRDefault="00193BE2" w:rsidP="00193BE2">
      <w:pPr>
        <w:spacing w:before="240" w:after="120" w:line="240" w:lineRule="auto"/>
        <w:jc w:val="both"/>
        <w:rPr>
          <w:rFonts w:ascii="Tw Cen MT" w:hAnsi="Tw Cen MT"/>
          <w:b/>
          <w:bCs/>
          <w:sz w:val="32"/>
          <w:szCs w:val="32"/>
        </w:rPr>
      </w:pPr>
      <w:r w:rsidRPr="00193BE2">
        <w:rPr>
          <w:rFonts w:ascii="Tw Cen MT" w:hAnsi="Tw Cen MT"/>
          <w:b/>
          <w:bCs/>
          <w:sz w:val="26"/>
          <w:szCs w:val="26"/>
        </w:rPr>
        <w:fldChar w:fldCharType="end"/>
      </w:r>
    </w:p>
    <w:p w14:paraId="32337DF6" w14:textId="77777777" w:rsidR="00193BE2" w:rsidRDefault="00193BE2">
      <w:pPr>
        <w:rPr>
          <w:rFonts w:ascii="Tw Cen MT" w:hAnsi="Tw Cen MT"/>
          <w:b/>
          <w:bCs/>
          <w:sz w:val="32"/>
          <w:szCs w:val="32"/>
        </w:rPr>
      </w:pPr>
    </w:p>
    <w:p w14:paraId="0FDBB961" w14:textId="77777777" w:rsidR="00193BE2" w:rsidRDefault="00193BE2">
      <w:pPr>
        <w:rPr>
          <w:rFonts w:ascii="Tw Cen MT" w:hAnsi="Tw Cen MT"/>
          <w:b/>
          <w:bCs/>
          <w:sz w:val="32"/>
          <w:szCs w:val="32"/>
        </w:rPr>
      </w:pPr>
    </w:p>
    <w:p w14:paraId="0B5B0C33" w14:textId="77777777" w:rsidR="00193BE2" w:rsidRPr="00193BE2" w:rsidRDefault="00193BE2">
      <w:pPr>
        <w:rPr>
          <w:rFonts w:ascii="Tw Cen MT" w:hAnsi="Tw Cen MT"/>
          <w:sz w:val="24"/>
          <w:szCs w:val="24"/>
        </w:rPr>
      </w:pPr>
    </w:p>
    <w:sectPr w:rsidR="00193BE2" w:rsidRPr="00193BE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9BF3" w14:textId="77777777" w:rsidR="00C64873" w:rsidRDefault="00C64873" w:rsidP="00C24C93">
      <w:pPr>
        <w:spacing w:after="0" w:line="240" w:lineRule="auto"/>
      </w:pPr>
      <w:r>
        <w:separator/>
      </w:r>
    </w:p>
  </w:endnote>
  <w:endnote w:type="continuationSeparator" w:id="0">
    <w:p w14:paraId="3126B36F" w14:textId="77777777" w:rsidR="00C64873" w:rsidRDefault="00C64873" w:rsidP="00C24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2545"/>
    </w:tblGrid>
    <w:tr w:rsidR="00C24C93" w:rsidRPr="00C24C93" w14:paraId="3325CC5D" w14:textId="77777777" w:rsidTr="00C24C93">
      <w:tc>
        <w:tcPr>
          <w:tcW w:w="5949" w:type="dxa"/>
          <w:vAlign w:val="center"/>
        </w:tcPr>
        <w:p w14:paraId="05680AEF" w14:textId="3B14C224" w:rsidR="00C24C93" w:rsidRPr="00C24C93" w:rsidRDefault="00C24C93" w:rsidP="00C24C93">
          <w:pPr>
            <w:pStyle w:val="Rodap"/>
            <w:rPr>
              <w:rFonts w:ascii="Tw Cen MT" w:hAnsi="Tw Cen MT"/>
              <w:b/>
              <w:bCs/>
              <w:i/>
              <w:iCs/>
              <w:sz w:val="26"/>
              <w:szCs w:val="26"/>
            </w:rPr>
          </w:pPr>
          <w:r w:rsidRPr="00C24C93">
            <w:rPr>
              <w:rFonts w:ascii="Tw Cen MT" w:hAnsi="Tw Cen MT"/>
              <w:b/>
              <w:bCs/>
              <w:i/>
              <w:iCs/>
              <w:sz w:val="26"/>
              <w:szCs w:val="26"/>
            </w:rPr>
            <w:t>Uma tecnologia Coretec Tools</w:t>
          </w:r>
        </w:p>
      </w:tc>
      <w:tc>
        <w:tcPr>
          <w:tcW w:w="2545" w:type="dxa"/>
          <w:vAlign w:val="center"/>
        </w:tcPr>
        <w:p w14:paraId="037824BB" w14:textId="7D9B0D6A" w:rsidR="00C24C93" w:rsidRPr="00C24C93" w:rsidRDefault="00C24C93" w:rsidP="00C24C93">
          <w:pPr>
            <w:pStyle w:val="Cabealh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05E9F88" wp14:editId="091B0059">
                <wp:extent cx="1304925" cy="84772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E4A532" w14:textId="32734724" w:rsidR="00C24C93" w:rsidRDefault="00C24C93" w:rsidP="00C24C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F12A" w14:textId="77777777" w:rsidR="00C64873" w:rsidRDefault="00C64873" w:rsidP="00C24C93">
      <w:pPr>
        <w:spacing w:after="0" w:line="240" w:lineRule="auto"/>
      </w:pPr>
      <w:r>
        <w:separator/>
      </w:r>
    </w:p>
  </w:footnote>
  <w:footnote w:type="continuationSeparator" w:id="0">
    <w:p w14:paraId="21C1F95A" w14:textId="77777777" w:rsidR="00C64873" w:rsidRDefault="00C64873" w:rsidP="00C24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8"/>
      <w:gridCol w:w="3006"/>
    </w:tblGrid>
    <w:tr w:rsidR="00C24C93" w:rsidRPr="00C24C93" w14:paraId="662E8F8D" w14:textId="77777777" w:rsidTr="00C24C93">
      <w:tc>
        <w:tcPr>
          <w:tcW w:w="5949" w:type="dxa"/>
          <w:vAlign w:val="center"/>
        </w:tcPr>
        <w:p w14:paraId="6DF7D794" w14:textId="503623BA" w:rsidR="00C24C93" w:rsidRPr="00C24C93" w:rsidRDefault="00C24C93" w:rsidP="00C24C93">
          <w:pPr>
            <w:pStyle w:val="Cabealho"/>
            <w:rPr>
              <w:rFonts w:ascii="Tw Cen MT" w:hAnsi="Tw Cen MT" w:cs="Times New Roman"/>
              <w:b/>
              <w:bCs/>
              <w:i/>
              <w:iCs/>
              <w:sz w:val="28"/>
              <w:szCs w:val="28"/>
            </w:rPr>
          </w:pPr>
          <w:r w:rsidRPr="00C24C93">
            <w:rPr>
              <w:rFonts w:ascii="Tw Cen MT" w:hAnsi="Tw Cen MT" w:cs="Times New Roman"/>
              <w:b/>
              <w:bCs/>
              <w:i/>
              <w:iCs/>
              <w:sz w:val="28"/>
              <w:szCs w:val="28"/>
            </w:rPr>
            <w:t>Calculadora Concreto Protendido v001-21</w:t>
          </w:r>
        </w:p>
      </w:tc>
      <w:tc>
        <w:tcPr>
          <w:tcW w:w="2545" w:type="dxa"/>
          <w:vAlign w:val="center"/>
        </w:tcPr>
        <w:p w14:paraId="58162FA4" w14:textId="77A3A843" w:rsidR="00C24C93" w:rsidRPr="00C24C93" w:rsidRDefault="00C24C93" w:rsidP="00C24C93">
          <w:pPr>
            <w:pStyle w:val="Cabealho"/>
            <w:rPr>
              <w:rFonts w:ascii="Times New Roman" w:hAnsi="Times New Roman" w:cs="Times New Roman"/>
              <w:sz w:val="28"/>
              <w:szCs w:val="28"/>
            </w:rPr>
          </w:pPr>
          <w:r w:rsidRPr="00C24C93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5C7B14CA" wp14:editId="78D96C5C">
                <wp:extent cx="1771650" cy="1057275"/>
                <wp:effectExtent l="0" t="0" r="0" b="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1612B3" w14:textId="61B5A0CA" w:rsidR="00C24C93" w:rsidRDefault="00C24C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4"/>
    <w:rsid w:val="000E56C4"/>
    <w:rsid w:val="00193BE2"/>
    <w:rsid w:val="003F0784"/>
    <w:rsid w:val="0041465A"/>
    <w:rsid w:val="00691C52"/>
    <w:rsid w:val="00741F34"/>
    <w:rsid w:val="007C70CD"/>
    <w:rsid w:val="007E0153"/>
    <w:rsid w:val="007F6079"/>
    <w:rsid w:val="0093158C"/>
    <w:rsid w:val="00980C05"/>
    <w:rsid w:val="009D77F2"/>
    <w:rsid w:val="00C24C93"/>
    <w:rsid w:val="00C2604B"/>
    <w:rsid w:val="00C64873"/>
    <w:rsid w:val="00DB28E5"/>
    <w:rsid w:val="00E24341"/>
    <w:rsid w:val="00E379C3"/>
    <w:rsid w:val="00ED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3A91"/>
  <w15:chartTrackingRefBased/>
  <w15:docId w15:val="{1B82DF9C-40C5-48B3-940E-6415B4CD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4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C93"/>
  </w:style>
  <w:style w:type="paragraph" w:styleId="Rodap">
    <w:name w:val="footer"/>
    <w:basedOn w:val="Normal"/>
    <w:link w:val="RodapChar"/>
    <w:uiPriority w:val="99"/>
    <w:unhideWhenUsed/>
    <w:rsid w:val="00C24C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C93"/>
  </w:style>
  <w:style w:type="table" w:styleId="Tabelacomgrade">
    <w:name w:val="Table Grid"/>
    <w:basedOn w:val="Tabelanormal"/>
    <w:uiPriority w:val="39"/>
    <w:rsid w:val="00C24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93BE2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193BE2"/>
    <w:pPr>
      <w:tabs>
        <w:tab w:val="left" w:pos="384"/>
      </w:tabs>
      <w:spacing w:after="0" w:line="240" w:lineRule="auto"/>
      <w:ind w:left="384" w:hanging="384"/>
    </w:pPr>
  </w:style>
  <w:style w:type="character" w:styleId="TextodoEspaoReservado">
    <w:name w:val="Placeholder Text"/>
    <w:basedOn w:val="Fontepargpadro"/>
    <w:uiPriority w:val="99"/>
    <w:semiHidden/>
    <w:rsid w:val="00E24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3</cp:revision>
  <dcterms:created xsi:type="dcterms:W3CDTF">2021-05-01T02:16:00Z</dcterms:created>
  <dcterms:modified xsi:type="dcterms:W3CDTF">2021-05-01T02:17:00Z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id="pk9m8TWy"/&gt;&lt;style id="http://www.zotero.org/styles/engineering-structures"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