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88888"/>
          <w:sz w:val="20"/>
          <w:szCs w:val="20"/>
        </w:rPr>
        <w:t xml:space="preserve">SeniorFreightOS — Technical Specification</w:t>
      </w:r>
    </w:p>
    <w:p>
      <w:pPr>
        <w:spacing w:after="80"/>
      </w:pPr>
      <w:r>
        <w:rPr>
          <w:rFonts w:ascii="Arial" w:cs="Arial" w:eastAsia="Arial" w:hAnsi="Arial"/>
          <w:b/>
          <w:bCs/>
          <w:color w:val="1F3864"/>
          <w:sz w:val="40"/>
          <w:szCs w:val="40"/>
        </w:rPr>
        <w:t xml:space="preserve">Pricing Engine Logic</w:t>
      </w:r>
    </w:p>
    <w:p>
      <w:pPr>
        <w:spacing w:after="60"/>
      </w:pPr>
      <w:r>
        <w:rPr>
          <w:rFonts w:ascii="Arial" w:cs="Arial" w:eastAsia="Arial" w:hAnsi="Arial"/>
          <w:color w:val="555555"/>
          <w:sz w:val="24"/>
          <w:szCs w:val="24"/>
        </w:rPr>
        <w:t xml:space="preserve">Weight-based cost-plus calculation, formulas, install rates, and worked example</w:t>
      </w:r>
    </w:p>
    <w:p>
      <w:pPr>
        <w:pBdr>
          <w:bottom w:val="single" w:color="2E75B6" w:sz="6" w:space="1"/>
        </w:pBdr>
        <w:spacing w:after="320"/>
      </w:pPr>
      <w:r>
        <w:rPr>
          <w:rFonts w:ascii="Arial" w:cs="Arial" w:eastAsia="Arial" w:hAnsi="Arial"/>
          <w:color w:val="888888"/>
          <w:sz w:val="20"/>
          <w:szCs w:val="20"/>
        </w:rPr>
        <w:t xml:space="preserve">Module 5 of 7  |  Olson Resource Group  |  June 2026</w:t>
      </w:r>
    </w:p>
    <w:p>
      <w:pPr>
        <w:spacing w:after="80" w:before="80"/>
      </w:pPr>
      <w:r>
        <w:t xml:space="preserve"/>
      </w:r>
    </w:p>
    <w:p>
      <w:pPr>
        <w:pStyle w:val="Heading1"/>
        <w:spacing w:after="180" w:before="360"/>
      </w:pPr>
      <w:r>
        <w:rPr>
          <w:rFonts w:ascii="Arial" w:cs="Arial" w:eastAsia="Arial" w:hAnsi="Arial"/>
          <w:b/>
          <w:bCs/>
          <w:color w:val="1F3864"/>
          <w:sz w:val="32"/>
          <w:szCs w:val="32"/>
        </w:rPr>
        <w:t xml:space="preserve">5. Pricing Engine Logic</w:t>
      </w:r>
    </w:p>
    <w:p>
      <w:pPr>
        <w:spacing w:after="60" w:before="60"/>
      </w:pPr>
      <w:r>
        <w:rPr>
          <w:rFonts w:ascii="Arial" w:cs="Arial" w:eastAsia="Arial" w:hAnsi="Arial"/>
          <w:sz w:val="22"/>
          <w:szCs w:val="22"/>
        </w:rPr>
        <w:t xml:space="preserve">Pricing is weight-driven cost-plus: every cost component is calculated from total consolidated shipment weight (or derived from it), then overhead and margin are layered on top to produce one total project bid. This mirrors the prototype's calculation exactly so the build can be validated line-by-line against it.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1 — Total Weight</w:t>
      </w:r>
    </w:p>
    <w:p>
      <w:pPr>
        <w:spacing w:after="60" w:before="60"/>
      </w:pPr>
      <w:r>
        <w:rPr>
          <w:rFonts w:ascii="Arial" w:cs="Arial" w:eastAsia="Arial" w:hAnsi="Arial"/>
          <w:sz w:val="22"/>
          <w:szCs w:val="22"/>
        </w:rPr>
        <w:t xml:space="preserve">totalWeight = SUM( shipment.qty × shipment.weightPerUnitLbs ) across all shipments in the project.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2 — Receiving Cost</w:t>
      </w:r>
    </w:p>
    <w:p>
      <w:pPr>
        <w:spacing w:after="60" w:before="60"/>
      </w:pPr>
      <w:r>
        <w:rPr>
          <w:rFonts w:ascii="Arial" w:cs="Arial" w:eastAsia="Arial" w:hAnsi="Arial"/>
          <w:sz w:val="22"/>
          <w:szCs w:val="22"/>
        </w:rPr>
        <w:t xml:space="preserve">receivingCost = totalWeight × receivingPerLb</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3 — Storage Cost</w:t>
      </w:r>
    </w:p>
    <w:p>
      <w:pPr>
        <w:spacing w:after="60" w:before="60"/>
      </w:pPr>
      <w:r>
        <w:rPr>
          <w:rFonts w:ascii="Arial" w:cs="Arial" w:eastAsia="Arial" w:hAnsi="Arial"/>
          <w:sz w:val="22"/>
          <w:szCs w:val="22"/>
        </w:rPr>
        <w:t xml:space="preserve">storageCost = totalWeight × storagePerLbPerDay × storageDays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4 — Outbound Freight (with distance factor and minimum)</w:t>
      </w:r>
    </w:p>
    <w:p>
      <w:pPr>
        <w:spacing w:after="60" w:before="60"/>
      </w:pPr>
      <w:r>
        <w:rPr>
          <w:rFonts w:ascii="Arial" w:cs="Arial" w:eastAsia="Arial" w:hAnsi="Arial"/>
          <w:sz w:val="22"/>
          <w:szCs w:val="22"/>
        </w:rPr>
        <w:t xml:space="preserve">distanceFactor = 1 + max(0, milesFromHub − 50) × 0.0015</w:t>
      </w:r>
    </w:p>
    <w:p>
      <w:pPr>
        <w:spacing w:after="60" w:before="60"/>
      </w:pPr>
      <w:r>
        <w:rPr>
          <w:rFonts w:ascii="Arial" w:cs="Arial" w:eastAsia="Arial" w:hAnsi="Arial"/>
          <w:sz w:val="22"/>
          <w:szCs w:val="22"/>
        </w:rPr>
        <w:t xml:space="preserve">freightCost = max( totalWeight × freightPerLb × distanceFactor, freightMinimum )</w:t>
      </w:r>
    </w:p>
    <w:p>
      <w:pPr>
        <w:spacing w:after="80" w:before="80"/>
      </w:pPr>
      <w:r>
        <w:t xml:space="preserve"/>
      </w:r>
    </w:p>
    <w:p>
      <w:pPr>
        <w:spacing w:after="60" w:before="60"/>
      </w:pPr>
      <w:r>
        <w:rPr>
          <w:rFonts w:ascii="Arial" w:cs="Arial" w:eastAsia="Arial" w:hAnsi="Arial"/>
          <w:sz w:val="22"/>
          <w:szCs w:val="22"/>
        </w:rPr>
        <w:t xml:space="preserve">The distance factor only begins scaling freight upward once a delivery is more than 50 miles from the hub, reflecting that very short hauls are dominated by the per-lb rate, not mileage. The minimum charge protects against under-pricing very light, low-weight projects.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5 — Fuel &amp; Rush Surcharges</w:t>
      </w:r>
    </w:p>
    <w:p>
      <w:pPr>
        <w:spacing w:after="60" w:before="60"/>
      </w:pPr>
      <w:r>
        <w:rPr>
          <w:rFonts w:ascii="Arial" w:cs="Arial" w:eastAsia="Arial" w:hAnsi="Arial"/>
          <w:sz w:val="22"/>
          <w:szCs w:val="22"/>
        </w:rPr>
        <w:t xml:space="preserve">fuelSurcharge = freightCost × fuelSurchargePct</w:t>
      </w:r>
    </w:p>
    <w:p>
      <w:pPr>
        <w:spacing w:after="60" w:before="60"/>
      </w:pPr>
      <w:r>
        <w:rPr>
          <w:rFonts w:ascii="Arial" w:cs="Arial" w:eastAsia="Arial" w:hAnsi="Arial"/>
          <w:sz w:val="22"/>
          <w:szCs w:val="22"/>
        </w:rPr>
        <w:t xml:space="preserve">rushSurcharge = rushDelivery ? (freightCost + fuelSurcharge) × rushSurchargePct : 0</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6 — Install Labor</w:t>
      </w:r>
    </w:p>
    <w:p>
      <w:pPr>
        <w:spacing w:after="60" w:before="60"/>
      </w:pPr>
      <w:r>
        <w:rPr>
          <w:rFonts w:ascii="Arial" w:cs="Arial" w:eastAsia="Arial" w:hAnsi="Arial"/>
          <w:sz w:val="22"/>
          <w:szCs w:val="22"/>
        </w:rPr>
        <w:t xml:space="preserve">installCost = SUM( task.qty × rate for task.type ) across all install tasks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Install Task</w:t>
            </w:r>
          </w:p>
        </w:tc>
        <w:tc>
          <w:tcPr>
            <w:tcW w:type="dxa" w:w="43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Default Rate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 furniture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 unit</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Hang artwork / mirrors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 / unit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 TV / fixture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 unit</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Place &amp; position only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 unit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Debris removal / unpack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unit</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 window treatments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 / unit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Step 7 — Direct Cost Subtotal</w:t>
      </w:r>
    </w:p>
    <w:p>
      <w:pPr>
        <w:spacing w:after="60" w:before="60"/>
      </w:pPr>
      <w:r>
        <w:rPr>
          <w:rFonts w:ascii="Arial" w:cs="Arial" w:eastAsia="Arial" w:hAnsi="Arial"/>
          <w:sz w:val="22"/>
          <w:szCs w:val="22"/>
        </w:rPr>
        <w:t xml:space="preserve">directCost = receivingCost + storageCost + freightCost + fuelSurcharge + rushSurcharge + installCost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8 — Overhead &amp; Margin</w:t>
      </w:r>
    </w:p>
    <w:p>
      <w:pPr>
        <w:spacing w:after="60" w:before="60"/>
      </w:pPr>
      <w:r>
        <w:rPr>
          <w:rFonts w:ascii="Arial" w:cs="Arial" w:eastAsia="Arial" w:hAnsi="Arial"/>
          <w:sz w:val="22"/>
          <w:szCs w:val="22"/>
        </w:rPr>
        <w:t xml:space="preserve">overhead = directCost × overheadPct</w:t>
      </w:r>
    </w:p>
    <w:p>
      <w:pPr>
        <w:spacing w:after="60" w:before="60"/>
      </w:pPr>
      <w:r>
        <w:rPr>
          <w:rFonts w:ascii="Arial" w:cs="Arial" w:eastAsia="Arial" w:hAnsi="Arial"/>
          <w:sz w:val="22"/>
          <w:szCs w:val="22"/>
        </w:rPr>
        <w:t xml:space="preserve">fullyLoadedCost = directCost + overhead</w:t>
      </w:r>
    </w:p>
    <w:p>
      <w:pPr>
        <w:spacing w:after="60" w:before="60"/>
      </w:pPr>
      <w:r>
        <w:rPr>
          <w:rFonts w:ascii="Arial" w:cs="Arial" w:eastAsia="Arial" w:hAnsi="Arial"/>
          <w:sz w:val="22"/>
          <w:szCs w:val="22"/>
        </w:rPr>
        <w:t xml:space="preserve">margin = fullyLoadedCost × marginPct</w:t>
      </w:r>
    </w:p>
    <w:p>
      <w:pPr>
        <w:spacing w:after="60" w:before="60"/>
      </w:pPr>
      <w:r>
        <w:rPr>
          <w:rFonts w:ascii="Arial" w:cs="Arial" w:eastAsia="Arial" w:hAnsi="Arial"/>
          <w:sz w:val="22"/>
          <w:szCs w:val="22"/>
        </w:rPr>
        <w:t xml:space="preserve">totalProjectBid = fullyLoadedCost + margin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Worked Example</w:t>
      </w:r>
    </w:p>
    <w:p>
      <w:pPr>
        <w:spacing w:after="60" w:before="60"/>
      </w:pPr>
      <w:r>
        <w:rPr>
          <w:rFonts w:ascii="Arial" w:cs="Arial" w:eastAsia="Arial" w:hAnsi="Arial"/>
          <w:sz w:val="22"/>
          <w:szCs w:val="22"/>
        </w:rPr>
        <w:t xml:space="preserve">A 12,000 lb project, 80 miles from the hub, 14 days storage, no rush, with 40 assembly tasks and 60 art-hanging tasks, at default rates: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4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29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12,000 × $0.085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12,000 × $0.012 × 14</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$2,016.00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Freight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12,000 × $0.165 × 1.045 (distance factor)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$2,069.10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Fuel surcharge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$2,069.10 × 9%</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$186.22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(assembly)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 $35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 (art hanging)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 × $18</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cost subtotal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above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$7,771.32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Overhead (12%)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$7,771.32 × 12%</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$932.56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loaded cost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$8,703.88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Margin (18%)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$8,703.88 × 18%</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$1,566.70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project bid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$10,270.58</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Developer Notes</w:t>
      </w:r>
    </w:p>
    <w:p>
      <w:pPr>
        <w:spacing w:after="60" w:before="60"/>
      </w:pPr>
      <w:r>
        <w:rPr>
          <w:rFonts w:ascii="Arial" w:cs="Arial" w:eastAsia="Arial" w:hAnsi="Arial"/>
          <w:sz w:val="22"/>
          <w:szCs w:val="22"/>
        </w:rPr>
        <w:t xml:space="preserve">This entire document maps to a single utility file. The pricing engine should be a pure function — given a project object, return a breakdown object with every line item. This makes it testable in isolation.</w:t>
      </w:r>
    </w:p>
    <w:p>
      <w:pPr>
        <w:pStyle w:val="ListParagraph"/>
        <w:numPr>
          <w:ilvl w:val="0"/>
          <w:numId w:val="2"/>
        </w:numPr>
        <w:spacing w:after="40" w:before="40"/>
      </w:pPr>
      <w:r>
        <w:rPr>
          <w:rFonts w:ascii="Arial" w:cs="Arial" w:eastAsia="Arial" w:hAnsi="Arial"/>
          <w:sz w:val="22"/>
          <w:szCs w:val="22"/>
        </w:rPr>
        <w:t xml:space="preserve">Corresponding folder: /src/utils (pricingEngine.js)</w:t>
      </w:r>
    </w:p>
    <w:p>
      <w:pPr>
        <w:pStyle w:val="ListParagraph"/>
        <w:numPr>
          <w:ilvl w:val="0"/>
          <w:numId w:val="2"/>
        </w:numPr>
        <w:spacing w:after="40" w:before="40"/>
      </w:pPr>
      <w:r>
        <w:rPr>
          <w:rFonts w:ascii="Arial" w:cs="Arial" w:eastAsia="Arial" w:hAnsi="Arial"/>
          <w:sz w:val="22"/>
          <w:szCs w:val="22"/>
        </w:rPr>
        <w:t xml:space="preserve">Write unit tests against the worked example above — output must match exactly</w:t>
      </w:r>
    </w:p>
    <w:p>
      <w:pPr>
        <w:pStyle w:val="ListParagraph"/>
        <w:numPr>
          <w:ilvl w:val="0"/>
          <w:numId w:val="2"/>
        </w:numPr>
        <w:spacing w:after="40" w:before="40"/>
      </w:pPr>
      <w:r>
        <w:rPr>
          <w:rFonts w:ascii="Arial" w:cs="Arial" w:eastAsia="Arial" w:hAnsi="Arial"/>
          <w:sz w:val="22"/>
          <w:szCs w:val="22"/>
        </w:rPr>
        <w:t xml:space="preserve">The rate values come from project.rates (the snapshot), not the live rate card</w:t>
      </w:r>
    </w:p>
    <w:p>
      <w:pPr>
        <w:pStyle w:val="ListParagraph"/>
        <w:numPr>
          <w:ilvl w:val="0"/>
          <w:numId w:val="2"/>
        </w:numPr>
        <w:spacing w:after="40" w:before="40"/>
      </w:pPr>
      <w:r>
        <w:rPr>
          <w:rFonts w:ascii="Arial" w:cs="Arial" w:eastAsia="Arial" w:hAnsi="Arial"/>
          <w:sz w:val="22"/>
          <w:szCs w:val="22"/>
        </w:rPr>
        <w:t xml:space="preserve">installTaskRates should be a separate exported constant in pricingEngine.js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2026-06-18T20:12:49.508Z</dcterms:created>
  <dcterms:modified xsi:type="dcterms:W3CDTF">2026-06-18T20:12:49.508Z</dcterms:modified>
</cp:coreProperties>
</file>

<file path=docProps/custom.xml><?xml version="1.0" encoding="utf-8"?>
<Properties xmlns="http://schemas.openxmlformats.org/officeDocument/2006/custom-properties" xmlns:vt="http://schemas.openxmlformats.org/officeDocument/2006/docPropsVTypes"/>
</file>