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SeniorFreightOS — Technical Specification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Automation Roadmap &amp; Technology Stack</w:t>
      </w:r>
    </w:p>
    <w:p>
      <w:pPr>
        <w:spacing w:after="6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Integration phases, tech recommendations, and next steps</w:t>
      </w:r>
    </w:p>
    <w:p>
      <w:pPr>
        <w:pBdr>
          <w:bottom w:val="single" w:color="2E75B6" w:sz="6" w:space="1"/>
        </w:pBdr>
        <w:spacing w:after="3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Module 7 of 7  |  Olson Resource Group  |  June 2026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Automation &amp; Integration Roadmap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long-term goal is for client and vendor data to arrive automatically rather than via manual entry. This is a phased roadmap — realistic to start manual and automate channel by channel.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 (V1 — Manual, Ships First)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Staff or client enters project, shipment, and install data directly into SeniorFreightOS via forms.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Quote generated instantly from entered data; no integration required to deliver core value.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(Semi-Automated Intake)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Bulk import: clients upload a structured spreadsheet (CSV/XLSX) of POs/product lists per project instead of manual line-by-line entry.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parsing: a dedicated intake email address where structured attachments are auto-parsed into draft shipments for staff review before they post to a project.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(True Automation)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EDI or API integration with large clients (e.g. Direct Supply) and major manufacturers to receive PO/ASN data directly into the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Carrier tracking integration to auto-update Out for Delivery / Delivered status instead of manual updates.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Automated client notifications (email/SMS) on every status change.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Recommendation: scope and budget Phase 1 as a standalone, fixed deliverable. Treat Phases 2 and 3 as a separate roadmap once Phase 1 is in production use.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Technology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or similar component framework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Matches the working prototype already validated with stakeholders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or Python (FastAPI/Django)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Wide hiring pool, mature libraries for EDI/CSV parsing in Phase 2–3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Relational integrity for Project → Shipment → Install Task hierarchy; strong reporting support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provider (e.g. Auth0, Clerk, or cloud-native equivalent)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 building tenant-isolated auth from scratch given client/portal separation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(AWS/Azure/GCP)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for SaaS-style deployment with room to scale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 (V2)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via SendGrid/SES; SMS via Twilio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Needed once portal notifications are in scope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⚠ API Key &amp; Secrets Policy — NEVER Hardcode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ABSOLUTE RULE: Never hardcode API keys, secrets, tokens, or credentials anywhere in the codebase.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This includes auth provider keys (Auth0/Clerk), database connection strings, JWT secrets, and any third-party service credentials.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Violation of this rule is a critical security failure. Any key committed to GitHub — even briefly — must be considered compromised and rotated immediately.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secrets and environment-specific values must be stored in environment variables and loaded at runtime. Follow this pattern for every environment: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Development: use a .env file loaded via dotenv (never commit this file to Git)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Staging / Production: use the hosting platform environment variable settings (e.g. Vercel environment variables, AWS Secrets Manager)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.env to .gitignore before writing a single line of code — this is step zero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Provide a .env.example file with placeholder values (no real secrets) so developers know what variables are required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Example of what correct code looks like:</w:t>
      </w:r>
    </w:p>
    <w:p>
      <w:pPr>
        <w:spacing w:after="20" w:before="60"/>
      </w:pPr>
      <w:r>
        <w:rPr>
          <w:rFonts w:ascii="Courier New" w:cs="Courier New" w:eastAsia="Courier New" w:hAnsi="Courier New"/>
          <w:color w:val="006400"/>
          <w:sz w:val="20"/>
          <w:szCs w:val="20"/>
        </w:rPr>
        <w:t xml:space="preserve">✅ CORRECT:  const secret = process.env.AUTH_SECRET</w:t>
      </w:r>
    </w:p>
    <w:p>
      <w:pPr>
        <w:spacing w:after="60" w:before="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❌ WRONG:    const secret = "sk-abc123xyz..."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Environment Variable Reference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integration in Phases 2 and 3 will require credentials. All of the following must be stored as environment variables — never written into 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Holds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connection 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AUTH_SECRET / CLERK_SECRET_KEY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provider secret 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JWT_SECRET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signing secret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SENDGRID_API_KEY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email service 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TWILIO_ACCOUNT_SID / TWILIO_AUTH_TOKEN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notification credentials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EDI_API_KEY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EDI/carrier integration credentials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Next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Review this specification and the working prototype together; confirm or adjust default rate card values against actual current pricing.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Decide build approach: in-house developer, contract developer, or software vendor/agency.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Scope Phase 1 as a fixed first deliverable with a defined budget and timeline.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Identify 2–3 real upcoming projects to use as pilot data once V1 is built.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Revisit Phase 2/3 automation roadmap only after Phase 1 is in live use.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Developer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Corresponding folder: / root (package.json, .env.example, README.md)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.env.example listing every variable from the table above with placeholder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.env to .gitignore before committing anything — this is step zero of the project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2 informs: /src/utils/csvImporter.js (future)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3 informs: /src/integrations/ folder (future — EDI, carrier APIs, notifications)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2026-06-18T20:15:40.881Z</dcterms:created>
  <dcterms:modified xsi:type="dcterms:W3CDTF">2026-06-18T20:15:40.881Z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