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Support-gated selective recovery under controlled multi-sensor corruption</w:t>
      </w:r>
    </w:p>
    <w:p>
      <w:pPr>
        <w:jc w:val="center"/>
      </w:pPr>
      <w:r>
        <w:t>Riyang Luo*</w:t>
        <w:br/>
        <w:t>School of Mechanical and Power Engineering, Nanjing Tech University, 30 South Puzhu Road, Nanjing 211816, Jiangsu Province, China</w:t>
        <w:br/>
        <w:t>*Corresponding author: lry@njtech.edu.cn</w:t>
      </w:r>
    </w:p>
    <w:bookmarkStart w:id="9" w:name="Xe4f160faa21e8056488eace2cf9cc23da69cbc6"/>
    <w:bookmarkEnd w:id="9"/>
    <w:bookmarkStart w:id="10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t xml:space="preserve">Recovering from sensor corruption requires choosing between a stable base classifier and a</w:t>
      </w:r>
      <w:r>
        <w:t xml:space="preserve"> </w:t>
      </w:r>
      <w:r>
        <w:t xml:space="preserve">recovery endpoint that can both correct and damage decisions. We formulate this choice as</w:t>
      </w:r>
      <w:r>
        <w:t xml:space="preserve"> </w:t>
      </w:r>
      <w:r>
        <w:t xml:space="preserve">controlled-corruption selective recovery. Endpoints and routing thresholds are fitted before</w:t>
      </w:r>
      <w:r>
        <w:t xml:space="preserve"> </w:t>
      </w:r>
      <w:r>
        <w:t xml:space="preserve">evaluation on fixed future batches. The strict test set contains 1,436 observations per mechanism</w:t>
      </w:r>
      <w:r>
        <w:t xml:space="preserve"> </w:t>
      </w:r>
      <w:r>
        <w:t xml:space="preserve">for which a controlled fault reached an available sensor group. The frozen conditional router</w:t>
      </w:r>
      <w:r>
        <w:t xml:space="preserve"> </w:t>
      </w:r>
      <w:r>
        <w:t xml:space="preserve">prevented 94.7% of recovery-induced negative transfers while retaining 9.7% of available</w:t>
      </w:r>
      <w:r>
        <w:t xml:space="preserve"> </w:t>
      </w:r>
      <w:r>
        <w:t xml:space="preserve">corrections. In direct context, always using the base endpoint gives 100% prevention and 0%</w:t>
      </w:r>
      <w:r>
        <w:t xml:space="preserve"> </w:t>
      </w:r>
      <w:r>
        <w:t xml:space="preserve">retention, whereas always using recovery gives 0% prevention and 100% retention. Only five</w:t>
      </w:r>
      <w:r>
        <w:t xml:space="preserve"> </w:t>
      </w:r>
      <w:r>
        <w:t xml:space="preserve">of ten fitted endpoint pairs passed the prospective support gate. The resulting deployment</w:t>
      </w:r>
      <w:r>
        <w:t xml:space="preserve"> </w:t>
      </w:r>
      <w:r>
        <w:t xml:space="preserve">policy reverted unsupported pairs to the base endpoint, achieving 96.2% prevention, 6.6%</w:t>
      </w:r>
      <w:r>
        <w:t xml:space="preserve"> </w:t>
      </w:r>
      <w:r>
        <w:t xml:space="preserve">retention and mean macro-AUROC 0.8132, compared with 0.8115 for the base endpoint. Under</w:t>
      </w:r>
      <w:r>
        <w:t xml:space="preserve"> </w:t>
      </w:r>
      <w:r>
        <w:t xml:space="preserve">equal correction and harm values, calibration-selected all-row and two-stage thresholds yielded</w:t>
      </w:r>
      <w:r>
        <w:t xml:space="preserve"> </w:t>
      </w:r>
      <w:r>
        <w:t xml:space="preserve">utilities of 107.9 and 110.6 net corrections per 10,000 strict observations; unconditional recovery</w:t>
      </w:r>
      <w:r>
        <w:t xml:space="preserve"> </w:t>
      </w:r>
      <w:r>
        <w:t xml:space="preserve">yielded 132.1. At a two-to-one harm cost, two-stage routing was best, but at ratios of five or</w:t>
      </w:r>
      <w:r>
        <w:t xml:space="preserve"> </w:t>
      </w:r>
      <w:r>
        <w:t xml:space="preserve">ten every learned policy had negative test utility and the base endpoint dominated. Severity,</w:t>
      </w:r>
      <w:r>
        <w:t xml:space="preserve"> </w:t>
      </w:r>
      <w:r>
        <w:t xml:space="preserve">sensor-group, mechanism and batch transport changed retention and utility materially. Intervals</w:t>
      </w:r>
      <w:r>
        <w:t xml:space="preserve"> </w:t>
      </w:r>
      <w:r>
        <w:t xml:space="preserve">describe ten repeated endpoint fits on one fixed test set. The evidence supports a reproducible</w:t>
      </w:r>
      <w:r>
        <w:t xml:space="preserve"> </w:t>
      </w:r>
      <w:r>
        <w:t xml:space="preserve">risk-control protocol for controlled corruption, not natural-failure recovery or device-independent</w:t>
      </w:r>
      <w:r>
        <w:t xml:space="preserve"> </w:t>
      </w:r>
      <w:r>
        <w:t xml:space="preserve">field performance.</w:t>
      </w:r>
    </w:p>
    <w:bookmarkEnd w:id="10"/>
    <w:p>
      <w:pPr>
        <w:pStyle w:val="BodyText"/>
      </w:pPr>
      <w:r>
        <w:t xml:space="preserve">Keywords:</w:t>
      </w:r>
      <w:r>
        <w:t xml:space="preserve"> </w:t>
      </w:r>
      <w:r>
        <w:t xml:space="preserve">multi-sensor fusion; sensor corruption; fault-tolerant classification; selective recovery; negative</w:t>
      </w:r>
      <w:r>
        <w:t xml:space="preserve"> </w:t>
      </w:r>
      <w:r>
        <w:t xml:space="preserve">transfer; cross-fitting</w:t>
      </w:r>
    </w:p>
    <w:bookmarkStart w:id="12" w:name="introduction"/>
    <w:p>
      <w:pPr>
        <w:pStyle w:val="Heading3"/>
      </w:pPr>
      <w:r>
        <w:t xml:space="preserve">1</w:t>
      </w:r>
      <w:r>
        <w:t xml:space="preserve"> </w:t>
      </w:r>
      <w:r>
        <w:t xml:space="preserve"> </w:t>
      </w:r>
      <w:bookmarkStart w:id="11" w:name="x1-10001"/>
      <w:bookmarkEnd w:id="11"/>
      <w:r>
        <w:t xml:space="preserve">Introduction</w:t>
      </w:r>
    </w:p>
    <w:p>
      <w:pPr>
        <w:pStyle w:val="FirstParagraph"/>
      </w:pPr>
      <w:r>
        <w:t xml:space="preserve">Scientific and industrial systems increasingly combine several channels whose availability and fidelity can</w:t>
      </w:r>
      <w:r>
        <w:t xml:space="preserve"> </w:t>
      </w:r>
      <w:r>
        <w:t xml:space="preserve">change after deployment. Missing inputs, delayed diagnostics and distribution shifts can invalidate a</w:t>
      </w:r>
      <w:r>
        <w:t xml:space="preserve"> </w:t>
      </w:r>
      <w:r>
        <w:t xml:space="preserve">model even when its architecture performs well on a static benchmark [</w:t>
      </w:r>
      <w:hyperlink w:anchor="Xliu2025deployment">
        <w:r>
          <w:rPr>
            <w:rStyle w:val="Hyperlink"/>
          </w:rPr>
          <w:t xml:space="preserve">1</w:t>
        </w:r>
      </w:hyperlink>
      <w:r>
        <w:t xml:space="preserve">–</w:t>
      </w:r>
      <w:hyperlink w:anchor="Xwu2026survey">
        <w:r>
          <w:rPr>
            <w:rStyle w:val="Hyperlink"/>
          </w:rPr>
          <w:t xml:space="preserve">4</w:t>
        </w:r>
      </w:hyperlink>
      <w:r>
        <w:t xml:space="preserve">]. This problem is distinct</w:t>
      </w:r>
      <w:r>
        <w:t xml:space="preserve"> </w:t>
      </w:r>
      <w:r>
        <w:t xml:space="preserve">from ordinary random missingness because a faulty sensor can remain present and produce</w:t>
      </w:r>
      <w:r>
        <w:t xml:space="preserve"> </w:t>
      </w:r>
      <w:r>
        <w:t xml:space="preserve">plausible but biased, clipped, noisy or unresponsive measurements. A robust fusion rule must</w:t>
      </w:r>
      <w:r>
        <w:t xml:space="preserve"> </w:t>
      </w:r>
      <w:r>
        <w:t xml:space="preserve">therefore decide not only whether a channel exists, but how strongly it should influence the</w:t>
      </w:r>
      <w:r>
        <w:t xml:space="preserve"> </w:t>
      </w:r>
      <w:r>
        <w:t xml:space="preserve">prediction.</w:t>
      </w:r>
    </w:p>
    <w:p>
      <w:pPr>
        <w:pStyle w:val="BodyText"/>
      </w:pPr>
      <w:r>
        <w:t xml:space="preserve">Several training strategies improve tolerance to absent or inconsistent sources. Modality</w:t>
      </w:r>
      <w:r>
        <w:t xml:space="preserve"> </w:t>
      </w:r>
      <w:r>
        <w:t xml:space="preserve">dropout, masking and self-distillation expose models to missing inputs [</w:t>
      </w:r>
      <w:hyperlink w:anchor="Xneverova2016moddrop">
        <w:r>
          <w:rPr>
            <w:rStyle w:val="Hyperlink"/>
          </w:rPr>
          <w:t xml:space="preserve">5</w:t>
        </w:r>
      </w:hyperlink>
      <w:r>
        <w:t xml:space="preserve">–</w:t>
      </w:r>
      <w:hyperlink w:anchor="Xwoo2023practices">
        <w:r>
          <w:rPr>
            <w:rStyle w:val="Hyperlink"/>
          </w:rPr>
          <w:t xml:space="preserve">7</w:t>
        </w:r>
      </w:hyperlink>
      <w:r>
        <w:t xml:space="preserve">]. Representation</w:t>
      </w:r>
      <w:r>
        <w:t xml:space="preserve"> </w:t>
      </w:r>
      <w:r>
        <w:t xml:space="preserve">refinement, gradient decoupling and expert routing address source imbalance or train–test mismatch</w:t>
      </w:r>
      <w:r>
        <w:t xml:space="preserve"> </w:t>
      </w:r>
      <w:r>
        <w:t xml:space="preserve">[</w:t>
      </w:r>
      <w:hyperlink w:anchor="Xwang2024gradient">
        <w:r>
          <w:rPr>
            <w:rStyle w:val="Hyperlink"/>
          </w:rPr>
          <w:t xml:space="preserve">8</w:t>
        </w:r>
      </w:hyperlink>
      <w:r>
        <w:t xml:space="preserve">–</w:t>
      </w:r>
      <w:hyperlink w:anchor="Xhuang2025mgr">
        <w:r>
          <w:rPr>
            <w:rStyle w:val="Hyperlink"/>
          </w:rPr>
          <w:t xml:space="preserve">11</w:t>
        </w:r>
      </w:hyperlink>
      <w:r>
        <w:t xml:space="preserve">]. Reliability-aware fusion additionally uses predictive uncertainty, learned credibility or</w:t>
      </w:r>
      <w:r>
        <w:t xml:space="preserve"> </w:t>
      </w:r>
      <w:r>
        <w:t xml:space="preserve">rejection [</w:t>
      </w:r>
      <w:hyperlink w:anchor="Xgao2024aleatoric">
        <w:r>
          <w:rPr>
            <w:rStyle w:val="Hyperlink"/>
          </w:rPr>
          <w:t xml:space="preserve">12</w:t>
        </w:r>
      </w:hyperlink>
      <w:r>
        <w:t xml:space="preserve">–</w:t>
      </w:r>
      <w:hyperlink w:anchor="Xrabanser2025selective">
        <w:r>
          <w:rPr>
            <w:rStyle w:val="Hyperlink"/>
          </w:rPr>
          <w:t xml:space="preserve">17</w:t>
        </w:r>
      </w:hyperlink>
      <w:r>
        <w:t xml:space="preserve">]. Quality-aware multimodal fusion (QMF) provides a published failure-aware</w:t>
      </w:r>
      <w:r>
        <w:t xml:space="preserve"> </w:t>
      </w:r>
      <w:r>
        <w:t xml:space="preserve">comparator by deriving modality confidence from predictive energy and aligning confidence</w:t>
      </w:r>
      <w:r>
        <w:t xml:space="preserve"> </w:t>
      </w:r>
      <w:r>
        <w:t xml:space="preserve">with historical loss trajectories [</w:t>
      </w:r>
      <w:hyperlink w:anchor="Xzhang2023qmf">
        <w:r>
          <w:rPr>
            <w:rStyle w:val="Hyperlink"/>
          </w:rPr>
          <w:t xml:space="preserve">18</w:t>
        </w:r>
      </w:hyperlink>
      <w:r>
        <w:t xml:space="preserve">]. These approaches establish useful design patterns, but</w:t>
      </w:r>
      <w:r>
        <w:t xml:space="preserve"> </w:t>
      </w:r>
      <w:r>
        <w:t xml:space="preserve">they do not make an arbitrary weighting response physically calibrated or comparable across</w:t>
      </w:r>
      <w:r>
        <w:t xml:space="preserve"> </w:t>
      </w:r>
      <w:r>
        <w:t xml:space="preserve">sensors.</w:t>
      </w:r>
    </w:p>
    <w:p>
      <w:pPr>
        <w:pStyle w:val="BodyText"/>
      </w:pPr>
      <w:r>
        <w:t xml:space="preserve">Sensor-fault diagnosis has a complementary engineering literature. Redundant sensor networks can</w:t>
      </w:r>
      <w:r>
        <w:t xml:space="preserve"> </w:t>
      </w:r>
      <w:r>
        <w:t xml:space="preserve">localize offset, drift, noise, peaks and stuck responses, and can distinguish local sensor faults</w:t>
      </w:r>
      <w:r>
        <w:t xml:space="preserve"> </w:t>
      </w:r>
      <w:r>
        <w:t xml:space="preserve">from global system changes [</w:t>
      </w:r>
      <w:hyperlink w:anchor="Xkullaa2011distinguishing">
        <w:r>
          <w:rPr>
            <w:rStyle w:val="Hyperlink"/>
          </w:rPr>
          <w:t xml:space="preserve">19</w:t>
        </w:r>
      </w:hyperlink>
      <w:r>
        <w:t xml:space="preserve">–</w:t>
      </w:r>
      <w:hyperlink w:anchor="Xhelwig2015sensorfault">
        <w:r>
          <w:rPr>
            <w:rStyle w:val="Hyperlink"/>
          </w:rPr>
          <w:t xml:space="preserve">21</w:t>
        </w:r>
      </w:hyperlink>
      <w:r>
        <w:t xml:space="preserve">]. Hydraulic condition-monitoring studies further show the</w:t>
      </w:r>
      <w:r>
        <w:t xml:space="preserve"> </w:t>
      </w:r>
      <w:r>
        <w:t xml:space="preserve">value of heterogeneous pressure, flow, temperature, power and vibration measurements for</w:t>
      </w:r>
      <w:r>
        <w:t xml:space="preserve"> </w:t>
      </w:r>
      <w:r>
        <w:t xml:space="preserve">component-state classification [</w:t>
      </w:r>
      <w:hyperlink w:anchor="Xhelwig2015condition">
        <w:r>
          <w:rPr>
            <w:rStyle w:val="Hyperlink"/>
          </w:rPr>
          <w:t xml:space="preserve">22</w:t>
        </w:r>
      </w:hyperlink>
      <w:r>
        <w:t xml:space="preserve">–</w:t>
      </w:r>
      <w:hyperlink w:anchor="Xyildirim2025hydraulic">
        <w:r>
          <w:rPr>
            <w:rStyle w:val="Hyperlink"/>
          </w:rPr>
          <w:t xml:space="preserve">25</w:t>
        </w:r>
      </w:hyperlink>
      <w:r>
        <w:t xml:space="preserve">]. These studies motivate physically defined sensor groups and</w:t>
      </w:r>
      <w:r>
        <w:t xml:space="preserve"> </w:t>
      </w:r>
      <w:r>
        <w:t xml:space="preserve">independent condition-monitoring validation rather than arbitrary computational groupings</w:t>
      </w:r>
      <w:r>
        <w:t xml:space="preserve"> </w:t>
      </w:r>
      <w:r>
        <w:t xml:space="preserve">alone.</w:t>
      </w:r>
    </w:p>
    <w:p>
      <w:pPr>
        <w:pStyle w:val="BodyText"/>
      </w:pPr>
      <w:r>
        <w:t xml:space="preserve">Most open benchmarks nevertheless encode sensor failure through simulation, laboratory intervention</w:t>
      </w:r>
      <w:r>
        <w:t xml:space="preserve"> </w:t>
      </w:r>
      <w:r>
        <w:t xml:space="preserve">or post hoc feature corruption. A recent public AHU resource instead provides one year of</w:t>
      </w:r>
      <w:r>
        <w:t xml:space="preserve"> </w:t>
      </w:r>
      <w:r>
        <w:t xml:space="preserve">building-management-system records from an office, an auditorium and a hospital, with return- and</w:t>
      </w:r>
      <w:r>
        <w:t xml:space="preserve"> </w:t>
      </w:r>
      <w:r>
        <w:t xml:space="preserve">supply-air temperature sensor faults annotated by experienced HVAC engineers [</w:t>
      </w:r>
      <w:hyperlink w:anchor="Xwang2025ahuoperational">
        <w:r>
          <w:rPr>
            <w:rStyle w:val="Hyperlink"/>
          </w:rPr>
          <w:t xml:space="preserve">26</w:t>
        </w:r>
      </w:hyperlink>
      <w:r>
        <w:t xml:space="preserve">, </w:t>
      </w:r>
      <w:hyperlink w:anchor="Xwang2024ahudataset">
        <w:r>
          <w:rPr>
            <w:rStyle w:val="Hyperlink"/>
          </w:rPr>
          <w:t xml:space="preserve">27</w:t>
        </w:r>
      </w:hyperlink>
      <w:r>
        <w:t xml:space="preserve">]. These labels</w:t>
      </w:r>
      <w:r>
        <w:t xml:space="preserve"> </w:t>
      </w:r>
      <w:r>
        <w:t xml:space="preserve">create a useful external field test, although they are rule- and expert-adjudicated operational annotations</w:t>
      </w:r>
      <w:r>
        <w:t xml:space="preserve"> </w:t>
      </w:r>
      <w:r>
        <w:t xml:space="preserve">rather than maintenance-confirmed hardware replacement events.</w:t>
      </w:r>
    </w:p>
    <w:p>
      <w:pPr>
        <w:pStyle w:val="BodyText"/>
      </w:pPr>
      <w:r>
        <w:t xml:space="preserve">Recent AHU studies show that the direct diagnosis problem differs from fault-tolerant</w:t>
      </w:r>
      <w:r>
        <w:t xml:space="preserve"> </w:t>
      </w:r>
      <w:r>
        <w:t xml:space="preserve">recovery. Transformer models can exploit long temporal dependencies within a continuously</w:t>
      </w:r>
      <w:r>
        <w:t xml:space="preserve"> </w:t>
      </w:r>
      <w:r>
        <w:t xml:space="preserve">operating hospital, while attention-based transfer and temporal–contextual learning explicitly</w:t>
      </w:r>
      <w:r>
        <w:t xml:space="preserve"> </w:t>
      </w:r>
      <w:r>
        <w:t xml:space="preserve">address building shift and limited labels [</w:t>
      </w:r>
      <w:hyperlink w:anchor="Xwang2025ahutransformer">
        <w:r>
          <w:rPr>
            <w:rStyle w:val="Hyperlink"/>
          </w:rPr>
          <w:t xml:space="preserve">28</w:t>
        </w:r>
      </w:hyperlink>
      <w:r>
        <w:t xml:space="preserve">–</w:t>
      </w:r>
      <w:hyperlink w:anchor="Xwang2026temporal">
        <w:r>
          <w:rPr>
            <w:rStyle w:val="Hyperlink"/>
          </w:rPr>
          <w:t xml:space="preserve">30</w:t>
        </w:r>
      </w:hyperlink>
      <w:r>
        <w:t xml:space="preserve">]. These architectures preserve fault signatures to</w:t>
      </w:r>
      <w:r>
        <w:t xml:space="preserve"> </w:t>
      </w:r>
      <w:r>
        <w:t xml:space="preserve">identify the failure itself. In contrast, fault-tolerant classification seeks to suppress corrupted</w:t>
      </w:r>
      <w:r>
        <w:t xml:space="preserve"> </w:t>
      </w:r>
      <w:r>
        <w:t xml:space="preserve">evidence while retaining another target, so superiority in one task need not transfer to the</w:t>
      </w:r>
      <w:r>
        <w:t xml:space="preserve"> </w:t>
      </w:r>
      <w:r>
        <w:t xml:space="preserve">other.</w:t>
      </w:r>
    </w:p>
    <w:p>
      <w:pPr>
        <w:pStyle w:val="BodyText"/>
      </w:pPr>
      <w:r>
        <w:t xml:space="preserve">We study paired-degradation responsive fusion (PDRF). “Responsive” denotes an operational change</w:t>
      </w:r>
      <w:r>
        <w:t xml:space="preserve"> </w:t>
      </w:r>
      <w:r>
        <w:t xml:space="preserve">in fusion weight after a controlled sensor degradation; it does not imply physical health, calibrated risk or</w:t>
      </w:r>
      <w:r>
        <w:t xml:space="preserve"> </w:t>
      </w:r>
      <w:r>
        <w:t xml:space="preserve">sensor variance. Each training observation is paired with a view in which one available sensor group is</w:t>
      </w:r>
      <w:r>
        <w:t xml:space="preserve"> </w:t>
      </w:r>
      <w:r>
        <w:t xml:space="preserve">degraded. The model learns a bounded response, and directional losses encourage the affected sensor’s</w:t>
      </w:r>
      <w:r>
        <w:t xml:space="preserve"> </w:t>
      </w:r>
      <w:r>
        <w:t xml:space="preserve">response to rise and its fusion weight to fall. The formulation does not invoke an identifiable causal</w:t>
      </w:r>
      <w:r>
        <w:t xml:space="preserve"> </w:t>
      </w:r>
      <w:r>
        <w:t xml:space="preserve">counterfactual. Predictive calibration is evaluated separately because discrimination, uncertainty and</w:t>
      </w:r>
      <w:r>
        <w:t xml:space="preserve"> </w:t>
      </w:r>
      <w:r>
        <w:t xml:space="preserve">calibration are different properties [</w:t>
      </w:r>
      <w:hyperlink w:anchor="Xkendall2017uncertainties">
        <w:r>
          <w:rPr>
            <w:rStyle w:val="Hyperlink"/>
          </w:rPr>
          <w:t xml:space="preserve">31</w:t>
        </w:r>
      </w:hyperlink>
      <w:r>
        <w:t xml:space="preserve">–</w:t>
      </w:r>
      <w:hyperlink w:anchor="Xvaicenavicius2019calibration">
        <w:r>
          <w:rPr>
            <w:rStyle w:val="Hyperlink"/>
          </w:rPr>
          <w:t xml:space="preserve">37</w:t>
        </w:r>
      </w:hyperlink>
      <w:r>
        <w:t xml:space="preserve">].</w:t>
      </w:r>
    </w:p>
    <w:p>
      <w:pPr>
        <w:pStyle w:val="BodyText"/>
      </w:pPr>
      <w:r>
        <w:t xml:space="preserve">The study makes four contributions. First, it defines a strict recovery estimand that includes only</w:t>
      </w:r>
      <w:r>
        <w:t xml:space="preserve"> </w:t>
      </w:r>
      <w:r>
        <w:t xml:space="preserve">controlled interventions that reach an available sensor group and separates prevention, retained correction</w:t>
      </w:r>
      <w:r>
        <w:t xml:space="preserve"> </w:t>
      </w:r>
      <w:r>
        <w:t xml:space="preserve">and selection denominators. Second, it distinguishes a correctness-disagreement conditional score from the</w:t>
      </w:r>
      <w:r>
        <w:t xml:space="preserve"> </w:t>
      </w:r>
      <w:r>
        <w:t xml:space="preserve">deployment estimand required on all observations. An all-row multinomial router, a two-stage</w:t>
      </w:r>
      <w:r>
        <w:t xml:space="preserve"> </w:t>
      </w:r>
      <w:r>
        <w:t xml:space="preserve">disagreement–preference router, random routing, scalar confidence/entropy rules, a logit-margin rule</w:t>
      </w:r>
      <w:r>
        <w:t xml:space="preserve"> </w:t>
      </w:r>
      <w:r>
        <w:t xml:space="preserve">and a shallow tree provide direct controls. Third, it separates lexicographic safety thresholds</w:t>
      </w:r>
      <w:r>
        <w:t xml:space="preserve"> </w:t>
      </w:r>
      <w:r>
        <w:t xml:space="preserve">from thresholds that maximize a declared calibration-set utility, and it makes a prospective</w:t>
      </w:r>
      <w:r>
        <w:t xml:space="preserve"> </w:t>
      </w:r>
      <w:r>
        <w:t xml:space="preserve">support gate with mandatory base-endpoint fallback the primary deployment policy. Fourth,</w:t>
      </w:r>
      <w:r>
        <w:t xml:space="preserve"> </w:t>
      </w:r>
      <w:r>
        <w:t xml:space="preserve">it evaluates selector transport across unseen mechanisms, calibration mixtures, corruption</w:t>
      </w:r>
      <w:r>
        <w:t xml:space="preserve"> </w:t>
      </w:r>
      <w:r>
        <w:t xml:space="preserve">severities, affected sensor groups and highly imbalanced acquisition batches, while reporting</w:t>
      </w:r>
      <w:r>
        <w:t xml:space="preserve"> </w:t>
      </w:r>
      <w:r>
        <w:t xml:space="preserve">fitting variation and engineering cost. The title and claims are limited to controlled corruption.</w:t>
      </w:r>
      <w:r>
        <w:t xml:space="preserve"> </w:t>
      </w:r>
      <w:r>
        <w:t xml:space="preserve">Hydraulic results are single-rig sensitivity evidence, and expert-annotated air-handling-unit</w:t>
      </w:r>
      <w:r>
        <w:t xml:space="preserve"> </w:t>
      </w:r>
      <w:r>
        <w:t xml:space="preserve">diagnosis remains a negative task boundary because it lacks an independent downstream recovery</w:t>
      </w:r>
      <w:r>
        <w:t xml:space="preserve"> </w:t>
      </w:r>
      <w:r>
        <w:t xml:space="preserve">target.</w:t>
      </w:r>
    </w:p>
    <w:bookmarkEnd w:id="12"/>
    <w:bookmarkStart w:id="22" w:name="related-work"/>
    <w:p>
      <w:pPr>
        <w:pStyle w:val="Heading3"/>
      </w:pPr>
      <w:r>
        <w:t xml:space="preserve">2</w:t>
      </w:r>
      <w:r>
        <w:t xml:space="preserve"> </w:t>
      </w:r>
      <w:r>
        <w:t xml:space="preserve"> </w:t>
      </w:r>
      <w:bookmarkStart w:id="13" w:name="x1-20002"/>
      <w:bookmarkEnd w:id="13"/>
      <w:r>
        <w:t xml:space="preserve">Related work</w:t>
      </w:r>
    </w:p>
    <w:bookmarkStart w:id="15" w:name="missing-and-unreliable-sensor-inputs"/>
    <w:p>
      <w:pPr>
        <w:pStyle w:val="Heading4"/>
      </w:pPr>
      <w:r>
        <w:t xml:space="preserve">2.1</w:t>
      </w:r>
      <w:r>
        <w:t xml:space="preserve"> </w:t>
      </w:r>
      <w:r>
        <w:t xml:space="preserve"> </w:t>
      </w:r>
      <w:bookmarkStart w:id="14" w:name="x1-30002.1"/>
      <w:bookmarkEnd w:id="14"/>
      <w:r>
        <w:t xml:space="preserve">Missing and unreliable sensor inputs</w:t>
      </w:r>
    </w:p>
    <w:p>
      <w:pPr>
        <w:pStyle w:val="FirstParagraph"/>
      </w:pPr>
      <w:r>
        <w:t xml:space="preserve">Missing-data mechanisms affect the interpretation of any robustness experiment [</w:t>
      </w:r>
      <w:hyperlink w:anchor="Xlittle2019missing">
        <w:r>
          <w:rPr>
            <w:rStyle w:val="Hyperlink"/>
          </w:rPr>
          <w:t xml:space="preserve">38</w:t>
        </w:r>
      </w:hyperlink>
      <w:r>
        <w:t xml:space="preserve">]. Random sensor</w:t>
      </w:r>
      <w:r>
        <w:t xml:space="preserve"> </w:t>
      </w:r>
      <w:r>
        <w:t xml:space="preserve">dropout tests tolerance to absent channels, whereas the present study targets channels that remain</w:t>
      </w:r>
      <w:r>
        <w:t xml:space="preserve"> </w:t>
      </w:r>
      <w:r>
        <w:t xml:space="preserve">available but become corrupted. Corruption augmentation and consistency distillation can improve this</w:t>
      </w:r>
      <w:r>
        <w:t xml:space="preserve"> </w:t>
      </w:r>
      <w:r>
        <w:t xml:space="preserve">setting, but they can also make an apparently novel fusion rule indistinguishable from robust training.</w:t>
      </w:r>
      <w:r>
        <w:t xml:space="preserve"> </w:t>
      </w:r>
      <w:r>
        <w:t xml:space="preserve">Our comparator design therefore gives the main gates identical paired degradations, labels, minibatches</w:t>
      </w:r>
      <w:r>
        <w:t xml:space="preserve"> </w:t>
      </w:r>
      <w:r>
        <w:t xml:space="preserve">and additional forward passes, and separately evaluates early and uniform fusion with clean distillation</w:t>
      </w:r>
      <w:r>
        <w:t xml:space="preserve"> </w:t>
      </w:r>
      <w:r>
        <w:t xml:space="preserve">and modality-dropout self-distillation.</w:t>
      </w:r>
    </w:p>
    <w:bookmarkEnd w:id="15"/>
    <w:bookmarkStart w:id="17" w:name="X2e958642cc931158c7523b61c0b123bfd982ee0"/>
    <w:p>
      <w:pPr>
        <w:pStyle w:val="Heading4"/>
      </w:pPr>
      <w:r>
        <w:t xml:space="preserve">2.2</w:t>
      </w:r>
      <w:r>
        <w:t xml:space="preserve"> </w:t>
      </w:r>
      <w:r>
        <w:t xml:space="preserve"> </w:t>
      </w:r>
      <w:bookmarkStart w:id="16" w:name="x1-40002.2"/>
      <w:bookmarkEnd w:id="16"/>
      <w:r>
        <w:t xml:space="preserve">Bounded operational responses and probability calibration</w:t>
      </w:r>
    </w:p>
    <w:p>
      <w:pPr>
        <w:pStyle w:val="FirstParagraph"/>
      </w:pPr>
      <w:r>
        <w:t xml:space="preserve">Input-dependent losses can represent aleatoric variation under valid probabilistic assumptions, whereas</w:t>
      </w:r>
      <w:r>
        <w:t xml:space="preserve"> </w:t>
      </w:r>
      <w:r>
        <w:t xml:space="preserve">PDRF uses its bounded response only for weighting [</w:t>
      </w:r>
      <w:hyperlink w:anchor="Xkendall2017uncertainties">
        <w:r>
          <w:rPr>
            <w:rStyle w:val="Hyperlink"/>
          </w:rPr>
          <w:t xml:space="preserve">31</w:t>
        </w:r>
      </w:hyperlink>
      <w:r>
        <w:t xml:space="preserve">, </w:t>
      </w:r>
      <w:hyperlink w:anchor="Xhullermeier2021uncertainty">
        <w:r>
          <w:rPr>
            <w:rStyle w:val="Hyperlink"/>
          </w:rPr>
          <w:t xml:space="preserve">32</w:t>
        </w:r>
      </w:hyperlink>
      <w:r>
        <w:t xml:space="preserve">]. Response ordering and isotonic audits</w:t>
      </w:r>
      <w:r>
        <w:t xml:space="preserve"> </w:t>
      </w:r>
      <w:r>
        <w:t xml:space="preserve">therefore do not convert it into physical variance. Probability quality is assessed separately with NLL,</w:t>
      </w:r>
      <w:r>
        <w:t xml:space="preserve"> </w:t>
      </w:r>
      <w:r>
        <w:t xml:space="preserve">Brier score, multiple ECE definitions and temperature scaling because calibration depends on both</w:t>
      </w:r>
      <w:r>
        <w:t xml:space="preserve"> </w:t>
      </w:r>
      <w:r>
        <w:t xml:space="preserve">multiclass structure and binning [</w:t>
      </w:r>
      <w:hyperlink w:anchor="Xvaicenavicius2019calibration">
        <w:r>
          <w:rPr>
            <w:rStyle w:val="Hyperlink"/>
          </w:rPr>
          <w:t xml:space="preserve">37</w:t>
        </w:r>
      </w:hyperlink>
      <w:r>
        <w:t xml:space="preserve">, </w:t>
      </w:r>
      <w:hyperlink w:anchor="Xkull2019dirichlet">
        <w:r>
          <w:rPr>
            <w:rStyle w:val="Hyperlink"/>
          </w:rPr>
          <w:t xml:space="preserve">39</w:t>
        </w:r>
      </w:hyperlink>
      <w:r>
        <w:t xml:space="preserve">, </w:t>
      </w:r>
      <w:hyperlink w:anchor="Xmortier2023classifier">
        <w:r>
          <w:rPr>
            <w:rStyle w:val="Hyperlink"/>
          </w:rPr>
          <w:t xml:space="preserve">40</w:t>
        </w:r>
      </w:hyperlink>
      <w:r>
        <w:t xml:space="preserve">]. Entropy weighting, deep ensembles and conformal sets</w:t>
      </w:r>
      <w:r>
        <w:t xml:space="preserve"> </w:t>
      </w:r>
      <w:r>
        <w:t xml:space="preserve">provide uncertainty-oriented comparators, not device-health estimates [</w:t>
      </w:r>
      <w:hyperlink w:anchor="Xlakshminarayanan2017ensembles">
        <w:r>
          <w:rPr>
            <w:rStyle w:val="Hyperlink"/>
          </w:rPr>
          <w:t xml:space="preserve">33</w:t>
        </w:r>
      </w:hyperlink>
      <w:r>
        <w:t xml:space="preserve">, </w:t>
      </w:r>
      <w:hyperlink w:anchor="Xpodkopaev2021distribution">
        <w:r>
          <w:rPr>
            <w:rStyle w:val="Hyperlink"/>
          </w:rPr>
          <w:t xml:space="preserve">41</w:t>
        </w:r>
      </w:hyperlink>
      <w:r>
        <w:t xml:space="preserve">]. Cross-building AHU</w:t>
      </w:r>
      <w:r>
        <w:t xml:space="preserve"> </w:t>
      </w:r>
      <w:r>
        <w:t xml:space="preserve">controls likewise distinguish source-only GroupDRO from target-feature adaptation by CORAL or target</w:t>
      </w:r>
      <w:r>
        <w:t xml:space="preserve"> </w:t>
      </w:r>
      <w:r>
        <w:t xml:space="preserve">normalization [</w:t>
      </w:r>
      <w:hyperlink w:anchor="Xsun2016coral">
        <w:r>
          <w:rPr>
            <w:rStyle w:val="Hyperlink"/>
          </w:rPr>
          <w:t xml:space="preserve">42</w:t>
        </w:r>
      </w:hyperlink>
      <w:r>
        <w:t xml:space="preserve">–</w:t>
      </w:r>
      <w:hyperlink w:anchor="Xmirza2022normalization">
        <w:r>
          <w:rPr>
            <w:rStyle w:val="Hyperlink"/>
          </w:rPr>
          <w:t xml:space="preserve">44</w:t>
        </w:r>
      </w:hyperlink>
      <w:r>
        <w:t xml:space="preserve">].</w:t>
      </w:r>
    </w:p>
    <w:bookmarkEnd w:id="17"/>
    <w:bookmarkStart w:id="19" w:name="selective-prediction-and-model-fallback"/>
    <w:p>
      <w:pPr>
        <w:pStyle w:val="Heading4"/>
      </w:pPr>
      <w:r>
        <w:t xml:space="preserve">2.3</w:t>
      </w:r>
      <w:r>
        <w:t xml:space="preserve"> </w:t>
      </w:r>
      <w:r>
        <w:t xml:space="preserve"> </w:t>
      </w:r>
      <w:bookmarkStart w:id="18" w:name="x1-50002.3"/>
      <w:bookmarkEnd w:id="18"/>
      <w:r>
        <w:t xml:space="preserve">Selective prediction and model fallback</w:t>
      </w:r>
    </w:p>
    <w:p>
      <w:pPr>
        <w:pStyle w:val="FirstParagraph"/>
      </w:pPr>
      <w:r>
        <w:t xml:space="preserve">Selective classification and reject-option learning trade coverage for lower predictive risk [</w:t>
      </w:r>
      <w:hyperlink w:anchor="Xelyaniv2010selective">
        <w:r>
          <w:rPr>
            <w:rStyle w:val="Hyperlink"/>
          </w:rPr>
          <w:t xml:space="preserve">45</w:t>
        </w:r>
      </w:hyperlink>
      <w:r>
        <w:t xml:space="preserve">–</w:t>
      </w:r>
      <w:hyperlink w:anchor="Xfranc2023reject">
        <w:r>
          <w:rPr>
            <w:rStyle w:val="Hyperlink"/>
          </w:rPr>
          <w:t xml:space="preserve">47</w:t>
        </w:r>
      </w:hyperlink>
      <w:r>
        <w:t xml:space="preserve">]; recent</w:t>
      </w:r>
      <w:r>
        <w:t xml:space="preserve"> </w:t>
      </w:r>
      <w:r>
        <w:t xml:space="preserve">work additionally studies selection under distribution shift [</w:t>
      </w:r>
      <w:hyperlink w:anchor="Xliang2024selective">
        <w:r>
          <w:rPr>
            <w:rStyle w:val="Hyperlink"/>
          </w:rPr>
          <w:t xml:space="preserve">48</w:t>
        </w:r>
      </w:hyperlink>
      <w:r>
        <w:t xml:space="preserve">]. Learning-to-defer methods route difficult</w:t>
      </w:r>
      <w:r>
        <w:t xml:space="preserve"> </w:t>
      </w:r>
      <w:r>
        <w:t xml:space="preserve">cases to a human or another expert whose error pattern may differ from that of the primary predictor</w:t>
      </w:r>
      <w:r>
        <w:t xml:space="preserve"> </w:t>
      </w:r>
      <w:r>
        <w:t xml:space="preserve">[</w:t>
      </w:r>
      <w:hyperlink w:anchor="Xmozannar2020defer">
        <w:r>
          <w:rPr>
            <w:rStyle w:val="Hyperlink"/>
          </w:rPr>
          <w:t xml:space="preserve">49</w:t>
        </w:r>
      </w:hyperlink>
      <w:r>
        <w:t xml:space="preserve">, </w:t>
      </w:r>
      <w:hyperlink w:anchor="Xtailor2024population">
        <w:r>
          <w:rPr>
            <w:rStyle w:val="Hyperlink"/>
          </w:rPr>
          <w:t xml:space="preserve">50</w:t>
        </w:r>
      </w:hyperlink>
      <w:r>
        <w:t xml:space="preserve">]. Classifier cascades explicitly trade predictive accuracy against evaluation cost, while</w:t>
      </w:r>
      <w:r>
        <w:t xml:space="preserve"> </w:t>
      </w:r>
      <w:r>
        <w:t xml:space="preserve">dynamic classifier and ensemble selection estimate which member is locally competent [</w:t>
      </w:r>
      <w:hyperlink w:anchor="Xchen2012cascade">
        <w:r>
          <w:rPr>
            <w:rStyle w:val="Hyperlink"/>
          </w:rPr>
          <w:t xml:space="preserve">51</w:t>
        </w:r>
      </w:hyperlink>
      <w:r>
        <w:t xml:space="preserve">, </w:t>
      </w:r>
      <w:hyperlink w:anchor="Xcruz2018dynamic">
        <w:r>
          <w:rPr>
            <w:rStyle w:val="Hyperlink"/>
          </w:rPr>
          <w:t xml:space="preserve">52</w:t>
        </w:r>
      </w:hyperlink>
      <w:r>
        <w:t xml:space="preserve">].</w:t>
      </w:r>
      <w:r>
        <w:t xml:space="preserve"> </w:t>
      </w:r>
      <w:r>
        <w:t xml:space="preserve">Mixture-of-experts routing provides a related differentiable allocation mechanism [</w:t>
      </w:r>
      <w:hyperlink w:anchor="Xpark2025mome">
        <w:r>
          <w:rPr>
            <w:rStyle w:val="Hyperlink"/>
          </w:rPr>
          <w:t xml:space="preserve">14</w:t>
        </w:r>
      </w:hyperlink>
      <w:r>
        <w:t xml:space="preserve">]. The present</w:t>
      </w:r>
      <w:r>
        <w:t xml:space="preserve"> </w:t>
      </w:r>
      <w:r>
        <w:t xml:space="preserve">fallback problem is narrower: both endpoints are fixed models of the same sensor-fusion task,</w:t>
      </w:r>
      <w:r>
        <w:t xml:space="preserve"> </w:t>
      </w:r>
      <w:r>
        <w:t xml:space="preserve">no observation is rejected, and the selector specifically controls recovery-induced negative</w:t>
      </w:r>
      <w:r>
        <w:t xml:space="preserve"> </w:t>
      </w:r>
      <w:r>
        <w:t xml:space="preserve">transfer while retaining corrections. Its operating curve is therefore prevention versus retained</w:t>
      </w:r>
      <w:r>
        <w:t xml:space="preserve"> </w:t>
      </w:r>
      <w:r>
        <w:t xml:space="preserve">recovery, rather than conventional risk versus coverage, human deferral utility or average cascade</w:t>
      </w:r>
      <w:r>
        <w:t xml:space="preserve"> </w:t>
      </w:r>
      <w:r>
        <w:t xml:space="preserve">cost.</w:t>
      </w:r>
    </w:p>
    <w:bookmarkEnd w:id="19"/>
    <w:bookmarkStart w:id="21" w:name="evidence-and-statistical-estimands"/>
    <w:p>
      <w:pPr>
        <w:pStyle w:val="Heading4"/>
      </w:pPr>
      <w:r>
        <w:t xml:space="preserve">2.4</w:t>
      </w:r>
      <w:r>
        <w:t xml:space="preserve"> </w:t>
      </w:r>
      <w:r>
        <w:t xml:space="preserve"> </w:t>
      </w:r>
      <w:bookmarkStart w:id="20" w:name="x1-60002.4"/>
      <w:bookmarkEnd w:id="20"/>
      <w:r>
        <w:t xml:space="preserve">Evidence and statistical estimands</w:t>
      </w:r>
    </w:p>
    <w:p>
      <w:pPr>
        <w:pStyle w:val="FirstParagraph"/>
      </w:pPr>
      <w:r>
        <w:t xml:space="preserve">Classifier comparisons can change with the resampling unit and evaluation estimand [</w:t>
      </w:r>
      <w:hyperlink w:anchor="Xdietterich1998tests">
        <w:r>
          <w:rPr>
            <w:rStyle w:val="Hyperlink"/>
          </w:rPr>
          <w:t xml:space="preserve">53</w:t>
        </w:r>
      </w:hyperlink>
      <w:r>
        <w:t xml:space="preserve">, </w:t>
      </w:r>
      <w:hyperlink w:anchor="Xdemsar2006statistical">
        <w:r>
          <w:rPr>
            <w:rStyle w:val="Hyperlink"/>
          </w:rPr>
          <w:t xml:space="preserve">54</w:t>
        </w:r>
      </w:hyperlink>
      <w:r>
        <w:t xml:space="preserve">].</w:t>
      </w:r>
      <w:r>
        <w:t xml:space="preserve"> </w:t>
      </w:r>
      <w:r>
        <w:t xml:space="preserve">Optimization seeds describe repeated fitting, whereas sample bootstrap intervals describe a fixed set of</w:t>
      </w:r>
      <w:r>
        <w:t xml:space="preserve"> </w:t>
      </w:r>
      <w:r>
        <w:t xml:space="preserve">fitted predictors [</w:t>
      </w:r>
      <w:hyperlink w:anchor="Xefron1994bootstrap">
        <w:r>
          <w:rPr>
            <w:rStyle w:val="Hyperlink"/>
          </w:rPr>
          <w:t xml:space="preserve">55</w:t>
        </w:r>
      </w:hyperlink>
      <w:r>
        <w:t xml:space="preserve">]. McNemar’s paired test evaluates discordant hard decisions on the same observations</w:t>
      </w:r>
      <w:r>
        <w:t xml:space="preserve"> </w:t>
      </w:r>
      <w:r>
        <w:t xml:space="preserve">[</w:t>
      </w:r>
      <w:hyperlink w:anchor="Xmcnemar1947correlated">
        <w:r>
          <w:rPr>
            <w:rStyle w:val="Hyperlink"/>
          </w:rPr>
          <w:t xml:space="preserve">56</w:t>
        </w:r>
      </w:hyperlink>
      <w:r>
        <w:t xml:space="preserve">]. We report these levels separately and do not treat observations from one instrument as independent</w:t>
      </w:r>
      <w:r>
        <w:t xml:space="preserve"> </w:t>
      </w:r>
      <w:r>
        <w:t xml:space="preserve">devices. Precision–recall metrics are included because class imbalance can make ROC summaries</w:t>
      </w:r>
      <w:r>
        <w:t xml:space="preserve"> </w:t>
      </w:r>
      <w:r>
        <w:t xml:space="preserve">incomplete [</w:t>
      </w:r>
      <w:hyperlink w:anchor="Xsaito2015precision">
        <w:r>
          <w:rPr>
            <w:rStyle w:val="Hyperlink"/>
          </w:rPr>
          <w:t xml:space="preserve">57</w:t>
        </w:r>
      </w:hyperlink>
      <w:r>
        <w:t xml:space="preserve">].</w:t>
      </w:r>
    </w:p>
    <w:bookmarkEnd w:id="21"/>
    <w:bookmarkEnd w:id="22"/>
    <w:bookmarkStart w:id="146" w:name="methods"/>
    <w:p>
      <w:pPr>
        <w:pStyle w:val="Heading3"/>
      </w:pPr>
      <w:r>
        <w:t xml:space="preserve">3</w:t>
      </w:r>
      <w:r>
        <w:t xml:space="preserve"> </w:t>
      </w:r>
      <w:r>
        <w:t xml:space="preserve"> </w:t>
      </w:r>
      <w:bookmarkStart w:id="23" w:name="x1-70003"/>
      <w:bookmarkEnd w:id="23"/>
      <w:r>
        <w:t xml:space="preserve">Methods</w:t>
      </w:r>
    </w:p>
    <w:bookmarkStart w:id="31" w:name="problem-definition"/>
    <w:p>
      <w:pPr>
        <w:pStyle w:val="Heading4"/>
      </w:pPr>
      <w:r>
        <w:t xml:space="preserve">3.1</w:t>
      </w:r>
      <w:r>
        <w:t xml:space="preserve"> </w:t>
      </w:r>
      <w:r>
        <w:t xml:space="preserve"> </w:t>
      </w:r>
      <w:bookmarkStart w:id="24" w:name="x1-80003.1"/>
      <w:bookmarkEnd w:id="24"/>
      <w:r>
        <w:t xml:space="preserve">Problem definition</w:t>
      </w:r>
    </w:p>
    <w:p>
      <w:pPr>
        <w:pStyle w:val="FirstParagraph"/>
      </w:pPr>
      <w:r>
        <w:t xml:space="preserve">For observation</w:t>
      </w:r>
      <w:r>
        <w:t xml:space="preserve"> </w:t>
      </w:r>
      <w:r>
        <w:t xml:space="preserve">i</w:t>
      </w:r>
      <w:r>
        <w:t xml:space="preserve"> </w:t>
      </w:r>
      <w:r>
        <w:t xml:space="preserve">and sensor group</w:t>
      </w:r>
      <w:r>
        <w:t xml:space="preserve"> </w:t>
      </w:r>
      <w:r>
        <w:t xml:space="preserve">m</w:t>
      </w:r>
      <w:r>
        <w:t xml:space="preserve">, let</w:t>
      </w:r>
      <w:r>
        <w:t xml:space="preserve"> </w:t>
      </w:r>
      <w:r>
        <w:t xml:space="preserve">x</w:t>
      </w:r>
      <w:r>
        <w:rPr>
          <w:vertAlign w:val="subscript"/>
        </w:rPr>
        <w:t xml:space="preserve">im</w:t>
      </w:r>
      <w:r>
        <w:t xml:space="preserve"> </w:t>
      </w:r>
      <w:r>
        <w:t xml:space="preserve">∈</w:t>
      </w:r>
      <w:r>
        <w:t xml:space="preserve">ℝ</w:t>
      </w:r>
      <w:r>
        <w:rPr>
          <w:vertAlign w:val="superscript"/>
        </w:rPr>
        <w:t xml:space="preserve">d</w:t>
      </w:r>
      <w:r>
        <w:t xml:space="preserve"> </w:t>
      </w:r>
      <w:r>
        <w:t xml:space="preserve">be the feature vector,</w:t>
      </w:r>
      <w:r>
        <w:t xml:space="preserve"> </w:t>
      </w:r>
      <w:r>
        <w:t xml:space="preserve">a</w:t>
      </w:r>
      <w:r>
        <w:rPr>
          <w:vertAlign w:val="subscript"/>
        </w:rPr>
        <w:t xml:space="preserve">im</w:t>
      </w:r>
      <w:r>
        <w:t xml:space="preserve"> </w:t>
      </w:r>
      <w:r>
        <w:t xml:space="preserve">∈{</w:t>
      </w:r>
      <w:r>
        <w:t xml:space="preserve">0</w:t>
      </w:r>
      <w:r>
        <w:t xml:space="preserve">,</w:t>
      </w:r>
      <w:r>
        <w:t xml:space="preserve">1</w:t>
      </w:r>
      <w:r>
        <w:t xml:space="preserve">}</w:t>
      </w:r>
      <w:r>
        <w:t xml:space="preserve"> </w:t>
      </w:r>
      <w:r>
        <w:t xml:space="preserve">the availability</w:t>
      </w:r>
      <w:r>
        <w:t xml:space="preserve"> </w:t>
      </w:r>
      <w:r>
        <w:t xml:space="preserve">indicator,</w:t>
      </w:r>
      <w:r>
        <w:t xml:space="preserve"> </w:t>
      </w:r>
      <w:r>
        <w:t xml:space="preserve">q</w:t>
      </w:r>
      <w:r>
        <w:rPr>
          <w:vertAlign w:val="subscript"/>
        </w:rPr>
        <w:t xml:space="preserve">im</w:t>
      </w:r>
      <w:r>
        <w:t xml:space="preserve"> </w:t>
      </w:r>
      <w:r>
        <w:t xml:space="preserve">∈</w:t>
      </w:r>
      <w:r>
        <w:t xml:space="preserve"> </w:t>
      </w:r>
      <w:r>
        <w:t xml:space="preserve">(0</w:t>
      </w:r>
      <w:r>
        <w:t xml:space="preserve">,</w:t>
      </w:r>
      <w:r>
        <w:t xml:space="preserve">1] an optional diagnostic-quality covariate and</w:t>
      </w:r>
      <w:r>
        <w:t xml:space="preserve"> </w:t>
      </w:r>
      <w:r>
        <w:t xml:space="preserve">y</w:t>
      </w:r>
      <w:r>
        <w:rPr>
          <w:vertAlign w:val="subscript"/>
        </w:rPr>
        <w:t xml:space="preserve">i</w:t>
      </w:r>
      <w:r>
        <w:t xml:space="preserve"> </w:t>
      </w:r>
      <w:r>
        <w:t xml:space="preserve">∈{</w:t>
      </w:r>
      <w:r>
        <w:t xml:space="preserve">1</w:t>
      </w:r>
      <w:r>
        <w:t xml:space="preserve">,…,C</w:t>
      </w:r>
      <w:r>
        <w:t xml:space="preserve">}</w:t>
      </w:r>
      <w:r>
        <w:t xml:space="preserve"> </w:t>
      </w:r>
      <w:r>
        <w:t xml:space="preserve">the target. PDRF</w:t>
      </w:r>
      <w:r>
        <w:t xml:space="preserve"> </w:t>
      </w:r>
      <w:r>
        <w:t xml:space="preserve">estimates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19350" cy="266700"/>
                  <wp:effectExtent b="0" l="0" r="0" t="0"/>
                  <wp:docPr descr=" ( ) p yi | {xim,aim,qim}Mm=1 ." title="" id="26" name="Picture"/>
                  <a:graphic>
                    <a:graphicData uri="http://schemas.openxmlformats.org/drawingml/2006/picture">
                      <pic:pic>
                        <pic:nvPicPr>
                          <pic:cNvPr descr="manuscript_cee0x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28" w:name="x1-8001r1"/>
            <w:bookmarkEnd w:id="28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(1)</w:t>
            </w:r>
          </w:p>
        </w:tc>
      </w:tr>
    </w:tbl>
    <w:p>
      <w:pPr>
        <w:pStyle w:val="BodyText"/>
      </w:pPr>
      <w:r>
        <w:t xml:space="preserve">When no quality metadata are available, all</w:t>
      </w:r>
      <w:r>
        <w:t xml:space="preserve"> </w:t>
      </w:r>
      <w:r>
        <w:t xml:space="preserve">q</w:t>
      </w:r>
      <w:r>
        <w:rPr>
          <w:vertAlign w:val="subscript"/>
        </w:rPr>
        <w:t xml:space="preserve">im</w:t>
      </w:r>
      <w:r>
        <w:t xml:space="preserve"> </w:t>
      </w:r>
      <w:r>
        <w:t xml:space="preserve">equal one. Every evaluated observation contains at least</w:t>
      </w:r>
      <w:r>
        <w:t xml:space="preserve"> </w:t>
      </w:r>
      <w:r>
        <w:t xml:space="preserve">one available group. If all groups are unavailable, the implementation abstains before inference because</w:t>
      </w:r>
      <w:r>
        <w:t xml:space="preserve"> </w:t>
      </w:r>
      <w:r>
        <w:t xml:space="preserve">normalized fusion is undefined.</w:t>
      </w:r>
    </w:p>
    <w:p>
      <w:pPr>
        <w:pStyle w:val="BodyText"/>
      </w:pPr>
      <w:r>
        <w:t xml:space="preserve">For the routing audit, let</w:t>
      </w:r>
      <w:r>
        <w:t xml:space="preserve"> </w:t>
      </w:r>
      <w:r>
        <w:t xml:space="preserve">b</w:t>
      </w:r>
      <w:r>
        <w:rPr>
          <w:vertAlign w:val="subscript"/>
        </w:rPr>
        <w:t xml:space="preserve">i</w:t>
      </w:r>
      <w:r>
        <w:t xml:space="preserve"> </w:t>
      </w:r>
      <w:r>
        <w:t xml:space="preserve">indicate that the base endpoint is correct,</w:t>
      </w:r>
      <w:r>
        <w:t xml:space="preserve"> </w:t>
      </w:r>
      <w:r>
        <w:t xml:space="preserve">r</w:t>
      </w:r>
      <w:r>
        <w:rPr>
          <w:vertAlign w:val="subscript"/>
        </w:rPr>
        <w:t xml:space="preserve">i</w:t>
      </w:r>
      <w:r>
        <w:t xml:space="preserve"> </w:t>
      </w:r>
      <w:r>
        <w:t xml:space="preserve">that the recovery endpoint is</w:t>
      </w:r>
      <w:r>
        <w:t xml:space="preserve"> </w:t>
      </w:r>
      <w:r>
        <w:t xml:space="preserve">correct and</w:t>
      </w:r>
      <w:r>
        <w:t xml:space="preserve"> </w:t>
      </w:r>
      <w:r>
        <w:t xml:space="preserve">s</w:t>
      </w:r>
      <w:r>
        <w:rPr>
          <w:vertAlign w:val="subscript"/>
        </w:rPr>
        <w:t xml:space="preserve">i</w:t>
      </w:r>
      <w:r>
        <w:t xml:space="preserve"> </w:t>
      </w:r>
      <w:r>
        <w:t xml:space="preserve">that the router emits the recovery output. Table </w:t>
      </w:r>
      <w:hyperlink w:anchor="X5723539f7741318a17c34745098cfdc9f201b7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fixes the event terminology used</w:t>
      </w:r>
      <w:r>
        <w:t xml:space="preserve"> </w:t>
      </w:r>
      <w:r>
        <w:t xml:space="preserve">throughout.</w:t>
      </w:r>
    </w:p>
    <w:p>
      <w:pPr>
        <w:pStyle w:val="BodyText"/>
      </w:pPr>
      <w:bookmarkStart w:id="29" w:name="x1-80021"/>
      <w:bookmarkEnd w:id="29"/>
    </w:p>
    <w:p>
      <w:pPr>
        <w:pStyle w:val="ImageCaption"/>
        <w:keepNext/>
        <w:keepLines/>
      </w:pPr>
      <w:r>
        <w:t xml:space="preserve">Table 1:</w:t>
      </w:r>
      <w:r>
        <w:t xml:space="preserve"> </w:t>
      </w:r>
      <w:r>
        <w:t xml:space="preserve">Hard-decision event definitions and denominators.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count correction and harm</w:t>
      </w:r>
      <w:r>
        <w:t xml:space="preserve"> </w:t>
      </w:r>
      <w:r>
        <w:t xml:space="preserve">opportunities;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count retained corrections and realized harms. Prevention is 1</w:t>
      </w:r>
      <w:r>
        <w:t xml:space="preserve">−</w:t>
      </w:r>
      <w:r>
        <w:t xml:space="preserve">n</w:t>
      </w:r>
      <w:r>
        <w:rPr>
          <w:vertAlign w:val="subscript"/>
        </w:rPr>
        <w:t xml:space="preserve">H</w:t>
      </w:r>
      <w:r>
        <w:t xml:space="preserve">∕N</w:t>
      </w:r>
      <w:r>
        <w:rPr>
          <w:vertAlign w:val="subscript"/>
        </w:rPr>
        <w:t xml:space="preserve">H</w:t>
      </w:r>
      <w:r>
        <w:t xml:space="preserve">,</w:t>
      </w:r>
      <w:r>
        <w:t xml:space="preserve"> </w:t>
      </w:r>
      <w:r>
        <w:t xml:space="preserve">whereas recovery retention is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∕N</w:t>
      </w:r>
      <w:r>
        <w:rPr>
          <w:vertAlign w:val="subscript"/>
        </w:rPr>
        <w:t xml:space="preserve">C</w:t>
      </w:r>
      <w:r>
        <w:t xml:space="preserve">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30" w:name="TBL-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Denominator symbol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Reported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Correction opportunity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¬</w:t>
                  </w: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C</w:t>
                  </w:r>
                  <w:r>
                    <w:t xml:space="preserve"> </w:t>
                  </w:r>
                  <w:r>
                    <w:t xml:space="preserve">=</w:t>
                  </w:r>
                  <w:r>
                    <w:t xml:space="preserve"> </w:t>
                  </w:r>
                  <w:r>
                    <w:t xml:space="preserve">∑</w:t>
                  </w:r>
                  <w:r>
                    <w:t xml:space="preserve"> 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⊮</w:t>
                  </w:r>
                  <w:r>
                    <w:t xml:space="preserve">(</w:t>
                  </w:r>
                  <w:r>
                    <w:t xml:space="preserve">¬</w:t>
                  </w: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C</w:t>
                  </w:r>
                  <w:r>
                    <w:t xml:space="preserve">∕N</w:t>
                  </w:r>
                  <w:r>
                    <w:rPr>
                      <w:vertAlign w:val="subscript"/>
                    </w:rP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correction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¬</w:t>
                  </w: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s</w:t>
                  </w:r>
                  <w:r>
                    <w:rPr>
                      <w:vertAlign w:val="subscript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C</w:t>
                  </w:r>
                  <w:r>
                    <w:t xml:space="preserve"> </w:t>
                  </w:r>
                  <w:r>
                    <w:t xml:space="preserve">=</w:t>
                  </w:r>
                  <w:r>
                    <w:t xml:space="preserve"> </w:t>
                  </w:r>
                  <w:r>
                    <w:t xml:space="preserve">∑</w:t>
                  </w:r>
                  <w:r>
                    <w:t xml:space="preserve"> 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⊮</w:t>
                  </w:r>
                  <w:r>
                    <w:t xml:space="preserve">(</w:t>
                  </w:r>
                  <w:r>
                    <w:t xml:space="preserve">¬</w:t>
                  </w: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s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events / observations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Harm opportunity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∧¬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H</w:t>
                  </w:r>
                  <w:r>
                    <w:t xml:space="preserve"> </w:t>
                  </w:r>
                  <w:r>
                    <w:t xml:space="preserve">=</w:t>
                  </w:r>
                  <w:r>
                    <w:t xml:space="preserve"> </w:t>
                  </w:r>
                  <w:r>
                    <w:t xml:space="preserve">∑</w:t>
                  </w:r>
                  <w:r>
                    <w:t xml:space="preserve"> 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⊮</w:t>
                  </w:r>
                  <w:r>
                    <w:t xml:space="preserve">(</w:t>
                  </w: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∧¬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  <w:r>
                    <w:t xml:space="preserve"> </w:t>
                  </w:r>
                  <w:r>
                    <w:t xml:space="preserve">−</w:t>
                  </w: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H</w:t>
                  </w:r>
                  <w:r>
                    <w:t xml:space="preserve">∕N</w:t>
                  </w:r>
                  <w:r>
                    <w:rPr>
                      <w:vertAlign w:val="subscript"/>
                    </w:rPr>
                    <w:t xml:space="preserve">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Realized harm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∧¬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s</w:t>
                  </w:r>
                  <w:r>
                    <w:rPr>
                      <w:vertAlign w:val="subscript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H</w:t>
                  </w:r>
                  <w:r>
                    <w:t xml:space="preserve"> </w:t>
                  </w:r>
                  <w:r>
                    <w:t xml:space="preserve">=</w:t>
                  </w:r>
                  <w:r>
                    <w:t xml:space="preserve"> </w:t>
                  </w:r>
                  <w:r>
                    <w:t xml:space="preserve">∑</w:t>
                  </w:r>
                  <w:r>
                    <w:t xml:space="preserve"> 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⊮</w:t>
                  </w:r>
                  <w:r>
                    <w:t xml:space="preserve">(</w:t>
                  </w:r>
                  <w:r>
                    <w:t xml:space="preserve">b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∧¬</w:t>
                  </w:r>
                  <w:r>
                    <w:t xml:space="preserve">r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∧</w:t>
                  </w:r>
                  <w:r>
                    <w:t xml:space="preserve">s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events / observations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 endpoint selection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</w:t>
                  </w:r>
                  <w:r>
                    <w:rPr>
                      <w:vertAlign w:val="subscript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t xml:space="preserve"> </w:t>
                  </w:r>
                  <w:r>
                    <w:t xml:space="preserve">=</w:t>
                  </w:r>
                  <w:r>
                    <w:t xml:space="preserve"> </w:t>
                  </w:r>
                  <w:r>
                    <w:t xml:space="preserve">∑</w:t>
                  </w:r>
                  <w:r>
                    <w:t xml:space="preserve"> 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∑</w:t>
                  </w:r>
                  <w:r>
                    <w:t xml:space="preserve"> 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s</w:t>
                  </w:r>
                  <w:r>
                    <w:rPr>
                      <w:vertAlign w:val="subscript"/>
                    </w:rPr>
                    <w:t xml:space="preserve">i</w:t>
                  </w:r>
                  <w:r>
                    <w:t xml:space="preserve">∕N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Net correct 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C</w:t>
                  </w:r>
                  <w:r>
                    <w:t xml:space="preserve"> </w:t>
                  </w:r>
                  <w:r>
                    <w:t xml:space="preserve">−</w:t>
                  </w: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events per 10,000</w:t>
                  </w:r>
                </w:p>
              </w:tc>
            </w:tr>
          </w:tbl>
          <w:bookmarkEnd w:id="30"/>
          <w:p>
            <w:pPr>
              <w:spacing w:before="0" w:after="0" w:line="240" w:lineRule="auto"/>
            </w:pPr>
          </w:p>
        </w:tc>
      </w:tr>
    </w:tbl>
    <w:bookmarkEnd w:id="31"/>
    <w:bookmarkStart w:id="57" w:name="architecture-and-bounded-weighting"/>
    <w:p>
      <w:pPr>
        <w:pStyle w:val="Heading4"/>
      </w:pPr>
      <w:r>
        <w:t xml:space="preserve">3.2</w:t>
      </w:r>
      <w:r>
        <w:t xml:space="preserve"> </w:t>
      </w:r>
      <w:r>
        <w:t xml:space="preserve"> </w:t>
      </w:r>
      <w:bookmarkStart w:id="32" w:name="x1-90003.2"/>
      <w:bookmarkEnd w:id="32"/>
      <w:r>
        <w:t xml:space="preserve">Architecture and bounded weighting</w:t>
      </w:r>
    </w:p>
    <w:p>
      <w:pPr>
        <w:pStyle w:val="FirstParagraph"/>
      </w:pPr>
      <w:r>
        <w:t xml:space="preserve">Each sensor group is encoded by affine layers</w:t>
      </w:r>
      <w:r>
        <w:t xml:space="preserve"> </w:t>
      </w:r>
      <w:r>
        <w:t xml:space="preserve">d</w:t>
      </w:r>
      <w:r>
        <w:t xml:space="preserve"> </w:t>
      </w:r>
      <w:r>
        <w:t xml:space="preserve">→</w:t>
      </w:r>
      <w:r>
        <w:t xml:space="preserve"> </w:t>
      </w:r>
      <w:r>
        <w:t xml:space="preserve">64</w:t>
      </w:r>
      <w:r>
        <w:t xml:space="preserve"> </w:t>
      </w:r>
      <w:r>
        <w:t xml:space="preserve">→</w:t>
      </w:r>
      <w:r>
        <w:t xml:space="preserve"> </w:t>
      </w:r>
      <w:r>
        <w:t xml:space="preserve">32, with a ReLU after each hidden affine</w:t>
      </w:r>
      <w:r>
        <w:t xml:space="preserve"> </w:t>
      </w:r>
      <w:r>
        <w:t xml:space="preserve">transformation and no normalization or dropout. A biased linear 32</w:t>
      </w:r>
      <w:r>
        <w:t xml:space="preserve"> </w:t>
      </w:r>
      <w:r>
        <w:t xml:space="preserve">→</w:t>
      </w:r>
      <w:r>
        <w:t xml:space="preserve">C</w:t>
      </w:r>
      <w:r>
        <w:t xml:space="preserve"> </w:t>
      </w:r>
      <w:r>
        <w:t xml:space="preserve">output produces group-specific</w:t>
      </w:r>
      <w:r>
        <w:t xml:space="preserve"> </w:t>
      </w:r>
      <w:r>
        <w:t xml:space="preserve">logits</w:t>
      </w:r>
      <w:r>
        <w:t xml:space="preserve"> </w:t>
      </w:r>
      <w:r>
        <w:t xml:space="preserve">μ</w:t>
      </w:r>
      <w:r>
        <w:rPr>
          <w:vertAlign w:val="subscript"/>
        </w:rPr>
        <w:t xml:space="preserve">im</w:t>
      </w:r>
      <w:r>
        <w:t xml:space="preserve">. The response head is exactly Linear(32</w:t>
      </w:r>
      <w:r>
        <w:t xml:space="preserve">,</w:t>
      </w:r>
      <w:r>
        <w:t xml:space="preserve">16</w:t>
      </w:r>
      <w:r>
        <w:t xml:space="preserve">,</w:t>
      </w:r>
      <w:r>
        <w:t xml:space="preserve">bias = true), ReLU, then Linear(16</w:t>
      </w:r>
      <w:r>
        <w:t xml:space="preserve">,</w:t>
      </w:r>
      <w:r>
        <w:t xml:space="preserve">1</w:t>
      </w:r>
      <w:r>
        <w:t xml:space="preserve">,</w:t>
      </w:r>
      <w:r>
        <w:t xml:space="preserve">bias = true).</w:t>
      </w:r>
      <w:r>
        <w:t xml:space="preserve"> </w:t>
      </w:r>
      <w:r>
        <w:t xml:space="preserve">There is no activation after the final linear layer, so its raw response</w:t>
      </w:r>
      <w:r>
        <w:t xml:space="preserve"> </w:t>
      </w:r>
      <w:r>
        <w:t xml:space="preserve">u</w:t>
      </w:r>
      <w:r>
        <w:rPr>
          <w:vertAlign w:val="subscript"/>
        </w:rPr>
        <w:t xml:space="preserve">im</w:t>
      </w:r>
      <w:r>
        <w:t xml:space="preserve"> </w:t>
      </w:r>
      <w:r>
        <w:t xml:space="preserve">can be positive or negative. The</w:t>
      </w:r>
      <w:r>
        <w:t xml:space="preserve"> </w:t>
      </w:r>
      <w:r>
        <w:t xml:space="preserve">bounded operational response is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019300" cy="514350"/>
                  <wp:effectExtent b="0" l="0" r="0" t="0"/>
                  <wp:docPr descr=" rim = B tanh (uim ∕B), − B &lt; r &lt; B. im" title="" id="34" name="Picture"/>
                  <a:graphic>
                    <a:graphicData uri="http://schemas.openxmlformats.org/drawingml/2006/picture">
                      <pic:pic>
                        <pic:nvPicPr>
                          <pic:cNvPr descr="manuscript_cee1x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36" w:name="x1-9001r2"/>
            <w:bookmarkEnd w:id="36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(2)</w:t>
            </w:r>
          </w:p>
        </w:tc>
      </w:tr>
    </w:tbl>
    <w:p>
      <w:pPr>
        <w:pStyle w:val="BodyText"/>
      </w:pPr>
      <w:r>
        <w:t xml:space="preserve">where the prespecified main setting uses</w:t>
      </w:r>
      <w:r>
        <w:t xml:space="preserve"> </w:t>
      </w:r>
      <w:r>
        <w:t xml:space="preserve">B</w:t>
      </w:r>
      <w:r>
        <w:t xml:space="preserve"> </w:t>
      </w:r>
      <w:r>
        <w:t xml:space="preserve">= 3. This layer placement matches the released implementation</w:t>
      </w:r>
      <w:r>
        <w:t xml:space="preserve"> </w:t>
      </w:r>
      <w:r>
        <w:t xml:space="preserve">and gives the symmetric open interval in Eq. (</w:t>
      </w:r>
      <w:hyperlink w:anchor="x1-9001r2">
        <w:r>
          <w:rPr>
            <w:rStyle w:val="Hyperlink"/>
          </w:rPr>
          <w:t xml:space="preserve">2</w:t>
        </w:r>
      </w:hyperlink>
      <w:r>
        <w:t xml:space="preserve">). Across 17,650 clean and faulted seed–observation</w:t>
      </w:r>
      <w:r>
        <w:t xml:space="preserve"> </w:t>
      </w:r>
      <w:r>
        <w:t xml:space="preserve">responses from 10 fitted RO-PDRF-Full models, the observed float32 range was</w:t>
      </w:r>
      <w:r>
        <w:t xml:space="preserve"> </w:t>
      </w:r>
      <w:r>
        <w:t xml:space="preserve">−</w:t>
      </w:r>
      <w:r>
        <w:t xml:space="preserve">2</w:t>
      </w:r>
      <w:r>
        <w:t xml:space="preserve">.</w:t>
      </w:r>
      <w:r>
        <w:t xml:space="preserve">899454 to</w:t>
      </w:r>
      <w:r>
        <w:t xml:space="preserve"> </w:t>
      </w:r>
      <w:r>
        <w:t xml:space="preserve">3</w:t>
      </w:r>
      <w:r>
        <w:t xml:space="preserve">.</w:t>
      </w:r>
      <w:r>
        <w:t xml:space="preserve">000000; the latter is numerical rounding of a value below the mathematical open boundary.</w:t>
      </w:r>
      <w:r>
        <w:t xml:space="preserve"> </w:t>
      </w:r>
      <w:r>
        <w:t xml:space="preserve">Clean responses ranged from</w:t>
      </w:r>
      <w:r>
        <w:t xml:space="preserve"> </w:t>
      </w:r>
      <w:r>
        <w:t xml:space="preserve">−</w:t>
      </w:r>
      <w:r>
        <w:t xml:space="preserve">2</w:t>
      </w:r>
      <w:r>
        <w:t xml:space="preserve">.</w:t>
      </w:r>
      <w:r>
        <w:t xml:space="preserve">757962 to 2</w:t>
      </w:r>
      <w:r>
        <w:t xml:space="preserve">.</w:t>
      </w:r>
      <w:r>
        <w:t xml:space="preserve">997449. Unnormalized and normalized weights</w:t>
      </w:r>
      <w:r>
        <w:t xml:space="preserve"> </w:t>
      </w:r>
      <w:r>
        <w:t xml:space="preserve">are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809625"/>
                  <wp:effectExtent b="0" l="0" r="0" t="0"/>
                  <wp:docPr descr="w～im = aimqim exp (− βrim), wim = ∑-～wim--. k ～wik" title="" id="38" name="Picture"/>
                  <a:graphic>
                    <a:graphicData uri="http://schemas.openxmlformats.org/drawingml/2006/picture">
                      <pic:pic>
                        <pic:nvPicPr>
                          <pic:cNvPr descr="manuscript_cee2x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80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40" w:name="x1-9002r3"/>
            <w:bookmarkEnd w:id="40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(3)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t xml:space="preserve">β</w:t>
      </w:r>
      <w:r>
        <w:t xml:space="preserve"> </w:t>
      </w:r>
      <w:r>
        <w:t xml:space="preserve">= 0</w:t>
      </w:r>
      <w:r>
        <w:t xml:space="preserve">.</w:t>
      </w:r>
      <w:r>
        <w:t xml:space="preserve">25. Fused logits are</w:t>
      </w:r>
      <w:r>
        <w:t xml:space="preserve"> </w:t>
      </w:r>
      <w:r>
        <w:t xml:space="preserve">ℓ</w:t>
      </w:r>
      <w:r>
        <w:rPr>
          <w:vertAlign w:val="subscript"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∑</w:t>
      </w:r>
      <w:r>
        <w:t xml:space="preserve"> </w:t>
      </w:r>
      <w:r>
        <w:rPr>
          <w:vertAlign w:val="subscript"/>
        </w:rPr>
        <w:t xml:space="preserve">m</w:t>
      </w:r>
      <w:r>
        <w:t xml:space="preserve">w</w:t>
      </w:r>
      <w:r>
        <w:rPr>
          <w:vertAlign w:val="subscript"/>
        </w:rPr>
        <w:t xml:space="preserve">im</w:t>
      </w:r>
      <w:r>
        <w:t xml:space="preserve">μ</w:t>
      </w:r>
      <w:r>
        <w:rPr>
          <w:vertAlign w:val="subscript"/>
        </w:rPr>
        <w:t xml:space="preserve">im</w:t>
      </w:r>
      <w:r>
        <w:t xml:space="preserve">. The implementation applies a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6</w:t>
      </w:r>
      <w:r>
        <w:t xml:space="preserve"> </w:t>
      </w:r>
      <w:r>
        <w:t xml:space="preserve">lower</w:t>
      </w:r>
      <w:r>
        <w:t xml:space="preserve"> </w:t>
      </w:r>
      <w:r>
        <w:t xml:space="preserve">guard to the normalization denominator, but the guard is inactive under the stated input</w:t>
      </w:r>
      <w:r>
        <w:t xml:space="preserve"> </w:t>
      </w:r>
      <w:r>
        <w:t xml:space="preserve">constraints because every observation has at least one available group and</w:t>
      </w:r>
      <w:r>
        <w:t xml:space="preserve"> </w:t>
      </w:r>
      <w:r>
        <w:t xml:space="preserve">q</w:t>
      </w:r>
      <w:r>
        <w:rPr>
          <w:vertAlign w:val="subscript"/>
        </w:rPr>
        <w:t xml:space="preserve">im</w:t>
      </w:r>
      <w:r>
        <w:t xml:space="preserve"> </w:t>
      </w:r>
      <w:r>
        <w:t xml:space="preserve">≥</w:t>
      </w:r>
      <w:r>
        <w:t xml:space="preserve"> </w:t>
      </w:r>
      <w:r>
        <w:t xml:space="preserve">0</w:t>
      </w:r>
      <w:r>
        <w:t xml:space="preserve">.</w:t>
      </w:r>
      <w:r>
        <w:t xml:space="preserve">01 after</w:t>
      </w:r>
      <w:r>
        <w:t xml:space="preserve"> </w:t>
      </w:r>
      <w:r>
        <w:t xml:space="preserve">clipping.</w:t>
      </w:r>
    </w:p>
    <w:p>
      <w:pPr>
        <w:pStyle w:val="BodyText"/>
      </w:pPr>
      <w:r>
        <w:t xml:space="preserve">This construction differs from an unconstrained softmax gate in three testable ways. First, the weight</w:t>
      </w:r>
      <w:r>
        <w:t xml:space="preserve"> </w:t>
      </w:r>
      <w:r>
        <w:t xml:space="preserve">is factorized into availability, an optional externally measured quality term and one bounded operational</w:t>
      </w:r>
      <w:r>
        <w:t xml:space="preserve"> </w:t>
      </w:r>
      <w:r>
        <w:t xml:space="preserve">response; it is not an unrestricted function of the concatenated sensor representation. Second, the</w:t>
      </w:r>
      <w:r>
        <w:t xml:space="preserve"> </w:t>
      </w:r>
      <w:r>
        <w:t xml:space="preserve">perturbed group is known during paired degradation, so its response and normalized weight</w:t>
      </w:r>
      <w:r>
        <w:t xml:space="preserve"> </w:t>
      </w:r>
      <w:r>
        <w:t xml:space="preserve">receive directional supervision rather than only a task-gradient signal. Third, the same response</w:t>
      </w:r>
      <w:r>
        <w:t xml:space="preserve"> </w:t>
      </w:r>
      <w:r>
        <w:t xml:space="preserve">that controls fusion is regularized by a group-specific predictive loss. Thus the response is</w:t>
      </w:r>
      <w:r>
        <w:t xml:space="preserve"> </w:t>
      </w:r>
      <w:r>
        <w:t xml:space="preserve">operationally coupled to group evidence, although it is not asserted to be a physical health</w:t>
      </w:r>
      <w:r>
        <w:t xml:space="preserve"> </w:t>
      </w:r>
      <w:r>
        <w:t xml:space="preserve">variable.</w:t>
      </w:r>
    </w:p>
    <w:p>
      <w:pPr>
        <w:pStyle w:val="BodyText"/>
      </w:pPr>
      <w:r>
        <w:t xml:space="preserve">The factorization also gives two elementary stability properties. For an available group, fixed</w:t>
      </w:r>
      <w:r>
        <w:t xml:space="preserve"> </w:t>
      </w:r>
      <w:r>
        <w:t xml:space="preserve">q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k≠m</w:t>
      </w:r>
      <w:r>
        <w:t xml:space="preserve">,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733675" cy="1009650"/>
                  <wp:effectExtent b="0" l="0" r="0" t="0"/>
                  <wp:docPr descr="∂wim ∂r--- = − βwim (1 − wim) ≤ 0, im ∂wik- = βwikwim ≥ 0. ∂rim" title="" id="42" name="Picture"/>
                  <a:graphic>
                    <a:graphicData uri="http://schemas.openxmlformats.org/drawingml/2006/picture">
                      <pic:pic>
                        <pic:nvPicPr>
                          <pic:cNvPr descr="manuscript_cee3x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44" w:name="x1-9003r4"/>
            <w:bookmarkEnd w:id="44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(4)</w:t>
            </w:r>
          </w:p>
        </w:tc>
      </w:tr>
    </w:tbl>
    <w:p>
      <w:pPr>
        <w:pStyle w:val="BodyText"/>
      </w:pPr>
      <w:r>
        <w:t xml:space="preserve">For two available groups with equal quality, bounded responses imply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1952625" cy="466725"/>
                  <wp:effectExtent b="0" l="0" r="0" t="0"/>
                  <wp:docPr descr=" ～w e−2βB &lt; --im- &lt; e2βB. w～ik" title="" id="46" name="Picture"/>
                  <a:graphic>
                    <a:graphicData uri="http://schemas.openxmlformats.org/drawingml/2006/picture">
                      <pic:pic>
                        <pic:nvPicPr>
                          <pic:cNvPr descr="manuscript_cee4x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48" w:name="x1-9004r5"/>
            <w:bookmarkEnd w:id="48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(5)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w:r>
        <w:t xml:space="preserve">B</w:t>
      </w:r>
      <w:r>
        <w:t xml:space="preserve"> </w:t>
      </w:r>
      <w:r>
        <w:t xml:space="preserve">= 3 and</w:t>
      </w:r>
      <w:r>
        <w:t xml:space="preserve"> </w:t>
      </w:r>
      <w:r>
        <w:t xml:space="preserve">β</w:t>
      </w:r>
      <w:r>
        <w:t xml:space="preserve"> </w:t>
      </w:r>
      <w:r>
        <w:t xml:space="preserve">= 0</w:t>
      </w:r>
      <w:r>
        <w:t xml:space="preserve">.</w:t>
      </w:r>
      <w:r>
        <w:t xml:space="preserve">25, one response alone can therefore create at most a 4.48-fold unnormalized-weight</w:t>
      </w:r>
      <w:r>
        <w:t xml:space="preserve"> </w:t>
      </w:r>
      <w:r>
        <w:t xml:space="preserve">ratio between equal-quality groups. These properties do not guarantee that the learned ordering is correct;</w:t>
      </w:r>
      <w:r>
        <w:t xml:space="preserve"> </w:t>
      </w:r>
      <w:r>
        <w:t xml:space="preserve">the experiments separately test that question.</w:t>
      </w:r>
    </w:p>
    <w:p>
      <w:pPr>
        <w:pStyle w:val="BodyText"/>
      </w:pPr>
      <w:r>
        <w:t xml:space="preserve">The response regularizer, retained as</w:t>
      </w:r>
      <w:r>
        <w:t xml:space="preserve"> </w:t>
      </w:r>
      <w:r>
        <w:t xml:space="preserve">ℒ</w:t>
      </w:r>
      <w:r>
        <w:rPr>
          <w:vertAlign w:val="subscript"/>
        </w:rPr>
        <w:t xml:space="preserve">score</w:t>
      </w:r>
      <w:r>
        <w:t xml:space="preserve"> </w:t>
      </w:r>
      <w:r>
        <w:t xml:space="preserve">in the implementation for reproducibility, combines a</w:t>
      </w:r>
      <w:r>
        <w:t xml:space="preserve"> </w:t>
      </w:r>
      <w:r>
        <w:t xml:space="preserve">bounded heteroscedastic-style term and a boundary penalty. For a minibatch</w:t>
      </w:r>
      <w:r>
        <w:t xml:space="preserve"> </w:t>
      </w:r>
      <w:r>
        <w:t xml:space="preserve">ℬ</w:t>
      </w:r>
      <w:r>
        <w:t xml:space="preserve">, write</w:t>
      </w:r>
      <w:r>
        <w:t xml:space="preserve"> </w:t>
      </w:r>
      <w:r>
        <w:t xml:space="preserve">s</w:t>
      </w:r>
      <w:r>
        <w:rPr>
          <w:vertAlign w:val="subscript"/>
        </w:rPr>
        <w:t xml:space="preserve">im</w:t>
      </w:r>
      <w:r>
        <w:t xml:space="preserve"> </w:t>
      </w:r>
      <w:r>
        <w:t xml:space="preserve">=</w:t>
      </w:r>
      <w:r>
        <w:t xml:space="preserve"> </w:t>
      </w:r>
      <w:r>
        <w:t xml:space="preserve">ω</w:t>
      </w:r>
      <w:r>
        <w:rPr>
          <w:vertAlign w:val="subscript"/>
        </w:rPr>
        <w:t xml:space="preserve">y</w:t>
      </w:r>
      <w:r>
        <w:rPr>
          <w:vertAlign w:val="subscript"/>
          <w:vertAlign w:val="subscript"/>
        </w:rPr>
        <w:t xml:space="preserve">i</w:t>
      </w:r>
      <w:r>
        <w:t xml:space="preserve">[</w:t>
      </w:r>
      <w:r>
        <w:t xml:space="preserve">−</w:t>
      </w:r>
      <w:r>
        <w:t xml:space="preserve">log softmax(</w:t>
      </w:r>
      <w:r>
        <w:t xml:space="preserve">μ</w:t>
      </w:r>
      <w:r>
        <w:rPr>
          <w:vertAlign w:val="subscript"/>
        </w:rPr>
        <w:t xml:space="preserve">im</w:t>
      </w:r>
      <w:r>
        <w:t xml:space="preserve">)</w:t>
      </w:r>
      <w:r>
        <w:rPr>
          <w:vertAlign w:val="subscript"/>
        </w:rPr>
        <w:t xml:space="preserve">y</w:t>
      </w:r>
      <w:r>
        <w:rPr>
          <w:vertAlign w:val="subscript"/>
          <w:vertAlign w:val="subscript"/>
        </w:rPr>
        <w:t xml:space="preserve">i</w:t>
      </w:r>
      <w:r>
        <w:t xml:space="preserve">], where</w:t>
      </w:r>
      <w:r>
        <w:t xml:space="preserve"> </w:t>
      </w:r>
      <w:r>
        <w:t xml:space="preserve">ω</w:t>
      </w:r>
      <w:r>
        <w:rPr>
          <w:vertAlign w:val="subscript"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t xml:space="preserve">n∕</w:t>
      </w:r>
      <w:r>
        <w:t xml:space="preserve">(</w:t>
      </w:r>
      <w:r>
        <w:t xml:space="preserve">Cn</w:t>
      </w:r>
      <w:r>
        <w:rPr>
          <w:vertAlign w:val="subscript"/>
        </w:rPr>
        <w:t xml:space="preserve">c</w:t>
      </w:r>
      <w:r>
        <w:t xml:space="preserve">) is the training-set class weight, and let</w:t>
      </w:r>
      <w:r>
        <w:t xml:space="preserve"> </w:t>
      </w:r>
      <w:r>
        <w:t xml:space="preserve">h</w:t>
      </w:r>
      <w:r>
        <w:rPr>
          <w:vertAlign w:val="subscript"/>
        </w:rPr>
        <w:t xml:space="preserve">im</w:t>
      </w:r>
      <w:r>
        <w:t xml:space="preserve"> </w:t>
      </w:r>
      <w:r>
        <w:t xml:space="preserve">=</w:t>
      </w:r>
      <w:r>
        <w:t xml:space="preserve"> </w:t>
      </w:r>
      <w:r>
        <w:t xml:space="preserve">e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r</w:t>
      </w:r>
      <w:r>
        <w:rPr>
          <w:vertAlign w:val="subscript"/>
          <w:vertAlign w:val="superscript"/>
        </w:rPr>
        <w:t xml:space="preserve">im</w:t>
      </w:r>
      <w:r>
        <w:t xml:space="preserve">s</w:t>
      </w:r>
      <w:r>
        <w:rPr>
          <w:vertAlign w:val="subscript"/>
        </w:rPr>
        <w:t xml:space="preserve">im</w:t>
      </w:r>
      <w:r>
        <w:t xml:space="preserve"> </w:t>
      </w:r>
      <w:r>
        <w:t xml:space="preserve">+</w:t>
      </w:r>
      <w:r>
        <w:t xml:space="preserve"> </w:t>
      </w:r>
      <w:r>
        <w:t xml:space="preserve">r</w:t>
      </w:r>
      <w:r>
        <w:rPr>
          <w:vertAlign w:val="subscript"/>
        </w:rPr>
        <w:t xml:space="preserve">im</w:t>
      </w:r>
      <w:r>
        <w:t xml:space="preserve">. Then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66975" cy="523875"/>
                  <wp:effectExtent b="0" l="0" r="0" t="0"/>
                  <wp:docPr descr=" ∑ ∑ --i∑∈ℬ--∑m-aimhim- ℒscore = i∈ℬ m aim ," title="" id="50" name="Picture"/>
                  <a:graphic>
                    <a:graphicData uri="http://schemas.openxmlformats.org/drawingml/2006/picture">
                      <pic:pic>
                        <pic:nvPicPr>
                          <pic:cNvPr descr="manuscript_cee5x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52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52" w:name="x1-9005r6"/>
            <w:bookmarkEnd w:id="52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(6)</w:t>
            </w:r>
          </w:p>
        </w:tc>
      </w:tr>
    </w:tbl>
    <w:p/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3057525" cy="542925"/>
                  <wp:effectExtent b="0" l="0" r="0" t="0"/>
                  <wp:docPr descr=" ∑ ∑ aim (rim ∕B)4 ℒbound = --i∈ℬ∑---m-∑----------. i∈ℬ m aim" title="" id="54" name="Picture"/>
                  <a:graphic>
                    <a:graphicData uri="http://schemas.openxmlformats.org/drawingml/2006/picture">
                      <pic:pic>
                        <pic:nvPicPr>
                          <pic:cNvPr descr="manuscript_cee6x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56" w:name="x1-9006r7"/>
            <w:bookmarkEnd w:id="56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(7)</w:t>
            </w:r>
          </w:p>
        </w:tc>
      </w:tr>
    </w:tbl>
    <w:p>
      <w:pPr>
        <w:pStyle w:val="BodyText"/>
      </w:pPr>
      <w:r>
        <w:t xml:space="preserve">Because cross-entropy is non-negative and</w:t>
      </w:r>
      <w:r>
        <w:t xml:space="preserve"> </w:t>
      </w:r>
      <w:r>
        <w:t xml:space="preserve">r</w:t>
      </w:r>
      <w:r>
        <w:rPr>
          <w:vertAlign w:val="subscript"/>
        </w:rPr>
        <w:t xml:space="preserve">im</w:t>
      </w:r>
      <w:r>
        <w:t xml:space="preserve"> </w:t>
      </w:r>
      <w:r>
        <w:t xml:space="preserve">&gt;</w:t>
      </w:r>
      <w:r>
        <w:t xml:space="preserve"> </w:t>
      </w:r>
      <w:r>
        <w:t xml:space="preserve">−</w:t>
      </w:r>
      <w:r>
        <w:t xml:space="preserve">B</w:t>
      </w:r>
      <w:r>
        <w:t xml:space="preserve">,</w:t>
      </w:r>
      <w:r>
        <w:t xml:space="preserve"> </w:t>
      </w:r>
      <w:r>
        <w:t xml:space="preserve">ℒ</w:t>
      </w:r>
      <w:r>
        <w:rPr>
          <w:vertAlign w:val="subscript"/>
        </w:rPr>
        <w:t xml:space="preserve">score</w:t>
      </w:r>
      <w:r>
        <w:t xml:space="preserve"> </w:t>
      </w:r>
      <w:r>
        <w:t xml:space="preserve">&gt;</w:t>
      </w:r>
      <w:r>
        <w:t xml:space="preserve"> </w:t>
      </w:r>
      <w:r>
        <w:t xml:space="preserve">−</w:t>
      </w:r>
      <w:r>
        <w:t xml:space="preserve">B</w:t>
      </w:r>
      <w:r>
        <w:t xml:space="preserve">. The complete objective therefore has a</w:t>
      </w:r>
      <w:r>
        <w:t xml:space="preserve"> </w:t>
      </w:r>
      <w:r>
        <w:t xml:space="preserve">finite lower bound. This statement concerns optimization stability, not calibration of the bounded</w:t>
      </w:r>
      <w:r>
        <w:t xml:space="preserve"> </w:t>
      </w:r>
      <w:r>
        <w:t xml:space="preserve">operational response.</w:t>
      </w:r>
    </w:p>
    <w:bookmarkEnd w:id="57"/>
    <w:bookmarkStart w:id="87" w:name="X8540cc0f84e4438397a4e17e5a0867c17a0ae1f"/>
    <w:p>
      <w:pPr>
        <w:pStyle w:val="Heading4"/>
      </w:pPr>
      <w:r>
        <w:t xml:space="preserve">3.3</w:t>
      </w:r>
      <w:r>
        <w:t xml:space="preserve"> </w:t>
      </w:r>
      <w:r>
        <w:t xml:space="preserve"> </w:t>
      </w:r>
      <w:bookmarkStart w:id="58" w:name="x1-100003.3"/>
      <w:bookmarkEnd w:id="58"/>
      <w:r>
        <w:t xml:space="preserve">Paired degradation and directional losses</w:t>
      </w:r>
    </w:p>
    <w:p>
      <w:pPr>
        <w:pStyle w:val="FirstParagraph"/>
      </w:pPr>
      <w:r>
        <w:t xml:space="preserve">For each minibatch observation, one available group</w:t>
      </w:r>
      <w:r>
        <w:t xml:space="preserve"> </w:t>
      </w:r>
      <w:r>
        <w:t xml:space="preserve">m</w:t>
      </w:r>
      <w:r>
        <w:rPr>
          <w:vertAlign w:val="superscript"/>
        </w:rPr>
        <w:t xml:space="preserve">∗</w:t>
      </w:r>
      <w:r>
        <w:t xml:space="preserve"> </w:t>
      </w:r>
      <w:r>
        <w:t xml:space="preserve">is drawn from a fixed training prior. A retention</w:t>
      </w:r>
      <w:r>
        <w:t xml:space="preserve"> </w:t>
      </w:r>
      <w:r>
        <w:t xml:space="preserve">factor</w:t>
      </w:r>
      <w:r>
        <w:t xml:space="preserve"> </w:t>
      </w:r>
      <w:r>
        <w:t xml:space="preserve">ρ</w:t>
      </w:r>
      <w:r>
        <w:rPr>
          <w:vertAlign w:val="subscript"/>
        </w:rPr>
        <w:t xml:space="preserve">i</w:t>
      </w:r>
      <w:r>
        <w:t xml:space="preserve"> </w:t>
      </w:r>
      <w:r>
        <w:t xml:space="preserve">∼</w:t>
      </w:r>
      <w:r>
        <w:t xml:space="preserve"> </w:t>
      </w:r>
      <w:r>
        <w:t xml:space="preserve">Uniform(0</w:t>
      </w:r>
      <w:r>
        <w:t xml:space="preserve">.</w:t>
      </w:r>
      <w:r>
        <w:t xml:space="preserve">15</w:t>
      </w:r>
      <w:r>
        <w:t xml:space="preserve">,</w:t>
      </w:r>
      <w:r>
        <w:t xml:space="preserve">0</w:t>
      </w:r>
      <w:r>
        <w:t xml:space="preserve">.</w:t>
      </w:r>
      <w:r>
        <w:t xml:space="preserve">50) controls additive Gaussian degradation with scale 2</w:t>
      </w:r>
      <w:r>
        <w:t xml:space="preserve">.</w:t>
      </w:r>
      <w:r>
        <w:t xml:space="preserve">5(1</w:t>
      </w:r>
      <w:r>
        <w:t xml:space="preserve"> </w:t>
      </w:r>
      <w:r>
        <w:t xml:space="preserve">−</w:t>
      </w:r>
      <w:r>
        <w:t xml:space="preserve">ρ</w:t>
      </w:r>
      <w:r>
        <w:rPr>
          <w:vertAlign w:val="subscript"/>
        </w:rPr>
        <w:t xml:space="preserve">i</w:t>
      </w:r>
      <w:r>
        <w:t xml:space="preserve">). In half of the</w:t>
      </w:r>
      <w:r>
        <w:t xml:space="preserve"> </w:t>
      </w:r>
      <w:r>
        <w:t xml:space="preserve">pairs,</w:t>
      </w:r>
      <w:r>
        <w:t xml:space="preserve"> </w:t>
      </w:r>
      <w:r>
        <w:t xml:space="preserve">q</w:t>
      </w:r>
      <w:r>
        <w:rPr>
          <w:vertAlign w:val="subscript"/>
        </w:rPr>
        <w:t xml:space="preserve">im</w:t>
      </w:r>
      <w:r>
        <w:rPr>
          <w:vertAlign w:val="superscript"/>
          <w:vertAlign w:val="subscript"/>
        </w:rPr>
        <w:t xml:space="preserve">∗</w:t>
      </w:r>
      <w:r>
        <w:t xml:space="preserve"> </w:t>
      </w:r>
      <w:r>
        <w:t xml:space="preserve">is multiplied by</w:t>
      </w:r>
      <w:r>
        <w:t xml:space="preserve"> </w:t>
      </w:r>
      <w:r>
        <w:t xml:space="preserve">ρ</w:t>
      </w:r>
      <w:r>
        <w:rPr>
          <w:vertAlign w:val="subscript"/>
        </w:rPr>
        <w:t xml:space="preserve">i</w:t>
      </w:r>
      <w:r>
        <w:t xml:space="preserve">; otherwise it is unchanged. Let primed symbols denote the degraded view</w:t>
      </w:r>
      <w:r>
        <w:t xml:space="preserve"> </w:t>
      </w:r>
      <w:r>
        <w:t xml:space="preserve">and</w:t>
      </w:r>
      <w:r>
        <w:t xml:space="preserve"> </w:t>
      </w:r>
      <w:r>
        <w:t xml:space="preserve">d</w:t>
      </w:r>
      <w:r>
        <w:rPr>
          <w:vertAlign w:val="subscript"/>
        </w:rPr>
        <w:t xml:space="preserve">i</w:t>
      </w:r>
      <w:r>
        <w:t xml:space="preserve"> </w:t>
      </w:r>
      <w:r>
        <w:t xml:space="preserve">= 1</w:t>
      </w:r>
      <w:r>
        <w:t xml:space="preserve"> </w:t>
      </w:r>
      <w:r>
        <w:t xml:space="preserve">−</w:t>
      </w:r>
      <w:r>
        <w:t xml:space="preserve">ρ</w:t>
      </w:r>
      <w:r>
        <w:rPr>
          <w:vertAlign w:val="subscript"/>
        </w:rPr>
        <w:t xml:space="preserve">i</w:t>
      </w:r>
      <w:r>
        <w:t xml:space="preserve">.</w:t>
      </w:r>
    </w:p>
    <w:p>
      <w:pPr>
        <w:pStyle w:val="BodyText"/>
      </w:pPr>
      <w:r>
        <w:t xml:space="preserve">The clean and degraded task losses use the class-weighted mean implemented by PyTorch. With</w:t>
      </w:r>
      <w:r>
        <w:t xml:space="preserve"> </w:t>
      </w:r>
      <w:r>
        <w:t xml:space="preserve">e</w:t>
      </w:r>
      <w:r>
        <w:rPr>
          <w:vertAlign w:val="subscript"/>
        </w:rPr>
        <w:t xml:space="preserve">i</w:t>
      </w:r>
      <w:r>
        <w:t xml:space="preserve">(</w:t>
      </w:r>
      <w:r>
        <w:t xml:space="preserve">ℓ</w:t>
      </w:r>
      <w:r>
        <w:t xml:space="preserve">) =</w:t>
      </w:r>
      <w:r>
        <w:t xml:space="preserve"> </w:t>
      </w:r>
      <w:r>
        <w:t xml:space="preserve">−</w:t>
      </w:r>
      <w:r>
        <w:t xml:space="preserve">log softmax(</w:t>
      </w:r>
      <w:r>
        <w:t xml:space="preserve">ℓ</w:t>
      </w:r>
      <w:r>
        <w:t xml:space="preserve">)</w:t>
      </w:r>
      <w:r>
        <w:rPr>
          <w:vertAlign w:val="subscript"/>
        </w:rPr>
        <w:t xml:space="preserve">y</w:t>
      </w:r>
      <w:r>
        <w:rPr>
          <w:vertAlign w:val="subscript"/>
          <w:vertAlign w:val="subscript"/>
        </w:rPr>
        <w:t xml:space="preserve">i</w:t>
      </w:r>
      <w:r>
        <w:t xml:space="preserve">,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114550" cy="1143000"/>
                  <wp:effectExtent b="0" l="0" r="0" t="0"/>
                  <wp:docPr descr=" ∑ ℒtask = ---i∈∑ℬ-ωyiei(ℓi), i∈ℬωyi ∑ ωy ei(ℓ′i) ℒdeg = ---i∈∑ℬ---i-----. i∈ℬωyi" title="" id="60" name="Picture"/>
                  <a:graphic>
                    <a:graphicData uri="http://schemas.openxmlformats.org/drawingml/2006/picture">
                      <pic:pic>
                        <pic:nvPicPr>
                          <pic:cNvPr descr="manuscript_cee7x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62" w:name="x1-10001r8"/>
            <w:bookmarkEnd w:id="62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(8)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w:r>
        <w:t xml:space="preserve">𝒱</w:t>
      </w:r>
      <w:r>
        <w:rPr>
          <w:vertAlign w:val="subscript"/>
        </w:rPr>
        <w:t xml:space="preserve">ℬ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i</w:t>
      </w:r>
      <w:r>
        <w:t xml:space="preserve"> </w:t>
      </w:r>
      <w:r>
        <w:t xml:space="preserve">∈ℬ</w:t>
      </w:r>
      <w:r>
        <w:t xml:space="preserve"> </w:t>
      </w:r>
      <w:r>
        <w:t xml:space="preserve">:</w:t>
      </w:r>
      <w:r>
        <w:t xml:space="preserve"> </w:t>
      </w:r>
      <w:r>
        <w:t xml:space="preserve">∑</w:t>
      </w:r>
      <w:r>
        <w:t xml:space="preserve"> </w:t>
      </w:r>
      <w:r>
        <w:rPr>
          <w:vertAlign w:val="subscript"/>
        </w:rPr>
        <w:t xml:space="preserve">m</w:t>
      </w:r>
      <w:r>
        <w:t xml:space="preserve">a</w:t>
      </w:r>
      <w:r>
        <w:rPr>
          <w:vertAlign w:val="subscript"/>
        </w:rPr>
        <w:t xml:space="preserve">im</w:t>
      </w:r>
      <w:r>
        <w:t xml:space="preserve"> </w:t>
      </w:r>
      <w:r>
        <w:t xml:space="preserve">&gt;</w:t>
      </w:r>
      <w:r>
        <w:t xml:space="preserve"> </w:t>
      </w:r>
      <w:r>
        <w:t xml:space="preserve">1</w:t>
      </w:r>
      <w:r>
        <w:t xml:space="preserve">}</w:t>
      </w:r>
      <w:r>
        <w:t xml:space="preserve"> </w:t>
      </w:r>
      <w:r>
        <w:t xml:space="preserve">denote observations for which the selected group can be removed while</w:t>
      </w:r>
      <w:r>
        <w:t xml:space="preserve"> </w:t>
      </w:r>
      <w:r>
        <w:t xml:space="preserve">another group remains. For</w:t>
      </w:r>
      <w:r>
        <w:t xml:space="preserve"> </w:t>
      </w:r>
      <w:r>
        <w:t xml:space="preserve">i</w:t>
      </w:r>
      <w:r>
        <w:t xml:space="preserve"> </w:t>
      </w:r>
      <w:r>
        <w:t xml:space="preserve">∈𝒱</w:t>
      </w:r>
      <w:r>
        <w:rPr>
          <w:vertAlign w:val="subscript"/>
        </w:rPr>
        <w:t xml:space="preserve">ℬ</w:t>
      </w:r>
      <w:r>
        <w:t xml:space="preserve">, the removal prediction</w:t>
      </w:r>
      <w:r>
        <w:t xml:space="preserve"> </w:t>
      </w:r>
      <w:r>
        <w:t xml:space="preserve">p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(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m</w:t>
      </w:r>
      <w:r>
        <w:rPr>
          <w:vertAlign w:val="superscript"/>
          <w:vertAlign w:val="superscript"/>
        </w:rPr>
        <w:t xml:space="preserve">∗</w:t>
      </w:r>
      <w:r>
        <w:rPr>
          <w:vertAlign w:val="superscript"/>
        </w:rPr>
        <w:t xml:space="preserve">)</w:t>
      </w:r>
      <w:r>
        <w:t xml:space="preserve"> </w:t>
      </w:r>
      <w:r>
        <w:t xml:space="preserve">defines a severity-interpolated target</w:t>
      </w:r>
      <w:r>
        <w:t xml:space="preserve"> </w:t>
      </w:r>
      <w:r>
        <w:t xml:space="preserve">t</w:t>
      </w:r>
      <w:r>
        <w:rPr>
          <w:vertAlign w:val="subscript"/>
        </w:rPr>
        <w:t xml:space="preserve">i</w:t>
      </w:r>
      <w:r>
        <w:t xml:space="preserve">; write</w:t>
      </w:r>
      <w:r>
        <w:t xml:space="preserve"> </w:t>
      </w:r>
      <w:r>
        <w:drawing>
          <wp:inline>
            <wp:extent cx="133350" cy="200025"/>
            <wp:effectExtent b="0" l="0" r="0" t="0"/>
            <wp:docPr descr="^t" title="" id="64" name="Picture"/>
            <a:graphic>
              <a:graphicData uri="http://schemas.openxmlformats.org/drawingml/2006/picture">
                <pic:pic>
                  <pic:nvPicPr>
                    <pic:cNvPr descr="manuscript_cee8x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vertAlign w:val="subscript"/>
        </w:rPr>
        <w:t xml:space="preserve">i</w:t>
      </w:r>
      <w:r>
        <w:t xml:space="preserve"> </w:t>
      </w:r>
      <w:r>
        <w:t xml:space="preserve">= stopgrad(</w:t>
      </w:r>
      <w:r>
        <w:t xml:space="preserve">t</w:t>
      </w:r>
      <w:r>
        <w:rPr>
          <w:vertAlign w:val="subscript"/>
        </w:rPr>
        <w:t xml:space="preserve">i</w:t>
      </w:r>
      <w:r>
        <w:t xml:space="preserve">):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714625" cy="923925"/>
                  <wp:effectExtent b="0" l="0" r="0" t="0"/>
                  <wp:docPr descr=" ∗ ti = (1 − di)pi + dip (−i m ), 1 ∑ ′ 2 ℒcons = |𝒱-| ∥pi − ^ti∥2. ℬ i∈𝒱ℬ" title="" id="67" name="Picture"/>
                  <a:graphic>
                    <a:graphicData uri="http://schemas.openxmlformats.org/drawingml/2006/picture">
                      <pic:pic>
                        <pic:nvPicPr>
                          <pic:cNvPr descr="manuscript_cee9x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69" w:name="x1-10002r9"/>
            <w:bookmarkEnd w:id="69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(9)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t xml:space="preserve">𝒱</w:t>
      </w:r>
      <w:r>
        <w:rPr>
          <w:vertAlign w:val="subscript"/>
        </w:rPr>
        <w:t xml:space="preserve">ℬ</w:t>
      </w:r>
      <w:r>
        <w:t xml:space="preserve"> </w:t>
      </w:r>
      <w:r>
        <w:t xml:space="preserve">is empty,</w:t>
      </w:r>
      <w:r>
        <w:t xml:space="preserve"> </w:t>
      </w:r>
      <w:r>
        <w:t xml:space="preserve">ℒ</w:t>
      </w:r>
      <w:r>
        <w:rPr>
          <w:vertAlign w:val="subscript"/>
        </w:rPr>
        <w:t xml:space="preserve">cons</w:t>
      </w:r>
      <w:r>
        <w:t xml:space="preserve"> </w:t>
      </w:r>
      <w:r>
        <w:t xml:space="preserve">and the removal-dependent directional terms are omitted, equivalently set to zero.</w:t>
      </w:r>
      <w:r>
        <w:t xml:space="preserve"> </w:t>
      </w:r>
      <w:r>
        <w:t xml:space="preserve">Directional terms operate on the affected normalized weight and raw response and are averaged over</w:t>
      </w:r>
      <w:r>
        <w:t xml:space="preserve"> </w:t>
      </w:r>
      <w:r>
        <w:t xml:space="preserve">eligible observations. With [</w:t>
      </w:r>
      <w:r>
        <w:t xml:space="preserve">z</w:t>
      </w:r>
      <w:r>
        <w:t xml:space="preserve">]</w:t>
      </w:r>
      <w:r>
        <w:rPr>
          <w:vertAlign w:val="subscript"/>
        </w:rPr>
        <w:t xml:space="preserve">+</w:t>
      </w:r>
      <w:r>
        <w:t xml:space="preserve"> </w:t>
      </w:r>
      <w:r>
        <w:t xml:space="preserve">= max(0</w:t>
      </w:r>
      <w:r>
        <w:t xml:space="preserve">,z</w:t>
      </w:r>
      <w:r>
        <w:t xml:space="preserve">) and Δ</w:t>
      </w:r>
      <w:r>
        <w:t xml:space="preserve">w</w:t>
      </w:r>
      <w:r>
        <w:rPr>
          <w:vertAlign w:val="subscript"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w</w:t>
      </w:r>
      <w:r>
        <w:t xml:space="preserve">′</w:t>
      </w:r>
      <w:r>
        <w:rPr>
          <w:vertAlign w:val="subscript"/>
        </w:rPr>
        <w:t xml:space="preserve">im</w:t>
      </w:r>
      <w:r>
        <w:rPr>
          <w:vertAlign w:val="superscript"/>
          <w:vertAlign w:val="subscript"/>
        </w:rPr>
        <w:t xml:space="preserve">∗</w:t>
      </w:r>
      <w:r>
        <w:t xml:space="preserve">−</w:t>
      </w:r>
      <w:r>
        <w:t xml:space="preserve">w</w:t>
      </w:r>
      <w:r>
        <w:rPr>
          <w:vertAlign w:val="subscript"/>
        </w:rPr>
        <w:t xml:space="preserve">im</w:t>
      </w:r>
      <w:r>
        <w:rPr>
          <w:vertAlign w:val="superscript"/>
          <w:vertAlign w:val="subscript"/>
        </w:rPr>
        <w:t xml:space="preserve">∗</w:t>
      </w:r>
      <w:r>
        <w:t xml:space="preserve">,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86025" cy="476250"/>
                  <wp:effectExtent b="0" l="0" r="0" t="0"/>
                  <wp:docPr descr=" ∑ ℒmono = |𝒱 |−1 [Δwi ]+. ℬ i∈𝒱 ℬ" title="" id="71" name="Picture"/>
                  <a:graphic>
                    <a:graphicData uri="http://schemas.openxmlformats.org/drawingml/2006/picture">
                      <pic:pic>
                        <pic:nvPicPr>
                          <pic:cNvPr descr="manuscript_cee10x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73" w:name="x1-10003r10"/>
            <w:bookmarkEnd w:id="73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(10)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t xml:space="preserve">γ</w:t>
      </w:r>
      <w:r>
        <w:rPr>
          <w:vertAlign w:val="subscript"/>
        </w:rPr>
        <w:t xml:space="preserve">i</w:t>
      </w:r>
      <w:r>
        <w:t xml:space="preserve"> </w:t>
      </w:r>
      <w:r>
        <w:t xml:space="preserve">= 0</w:t>
      </w:r>
      <w:r>
        <w:t xml:space="preserve">.</w:t>
      </w:r>
      <w:r>
        <w:t xml:space="preserve">5</w:t>
      </w:r>
      <w:r>
        <w:t xml:space="preserve">d</w:t>
      </w:r>
      <w:r>
        <w:rPr>
          <w:vertAlign w:val="subscript"/>
        </w:rPr>
        <w:t xml:space="preserve">i</w:t>
      </w:r>
      <w:r>
        <w:t xml:space="preserve">∕</w:t>
      </w:r>
      <w:r>
        <w:t xml:space="preserve">0</w:t>
      </w:r>
      <w:r>
        <w:t xml:space="preserve">.</w:t>
      </w:r>
      <w:r>
        <w:t xml:space="preserve">85 and Δ</w:t>
      </w:r>
      <w:r>
        <w:t xml:space="preserve">r</w:t>
      </w:r>
      <w:r>
        <w:rPr>
          <w:vertAlign w:val="subscript"/>
        </w:rPr>
        <w:t xml:space="preserve">i</w:t>
      </w:r>
      <w:r>
        <w:t xml:space="preserve"> </w:t>
      </w:r>
      <w:r>
        <w:t xml:space="preserve">= stopgrad(</w:t>
      </w:r>
      <w:r>
        <w:t xml:space="preserve">r</w:t>
      </w:r>
      <w:r>
        <w:rPr>
          <w:vertAlign w:val="subscript"/>
        </w:rPr>
        <w:t xml:space="preserve">im</w:t>
      </w:r>
      <w:r>
        <w:rPr>
          <w:vertAlign w:val="superscript"/>
          <w:vertAlign w:val="subscript"/>
        </w:rPr>
        <w:t xml:space="preserve">∗</w:t>
      </w:r>
      <w:r>
        <w:t xml:space="preserve">)</w:t>
      </w:r>
      <w:r>
        <w:t xml:space="preserve"> </w:t>
      </w:r>
      <w:r>
        <w:t xml:space="preserve">−</w:t>
      </w:r>
      <w:r>
        <w:t xml:space="preserve">r</w:t>
      </w:r>
      <w:r>
        <w:t xml:space="preserve">′</w:t>
      </w:r>
      <w:r>
        <w:rPr>
          <w:vertAlign w:val="subscript"/>
        </w:rPr>
        <w:t xml:space="preserve">im</w:t>
      </w:r>
      <w:r>
        <w:rPr>
          <w:vertAlign w:val="superscript"/>
          <w:vertAlign w:val="subscript"/>
        </w:rPr>
        <w:t xml:space="preserve">∗</w:t>
      </w:r>
      <w:r>
        <w:t xml:space="preserve">, the response-ranking term is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790825" cy="476250"/>
                  <wp:effectExtent b="0" l="0" r="0" t="0"/>
                  <wp:docPr descr=" −1 ∑ ℒrank = |𝒱ℬ| [γi + Δri]+. i∈𝒱ℬ" title="" id="75" name="Picture"/>
                  <a:graphic>
                    <a:graphicData uri="http://schemas.openxmlformats.org/drawingml/2006/picture">
                      <pic:pic>
                        <pic:nvPicPr>
                          <pic:cNvPr descr="manuscript_cee11x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77" w:name="x1-10004r11"/>
            <w:bookmarkEnd w:id="77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(11)</w:t>
            </w:r>
          </w:p>
        </w:tc>
      </w:tr>
    </w:tbl>
    <w:p>
      <w:pPr>
        <w:pStyle w:val="BodyText"/>
      </w:pPr>
      <w:r>
        <w:t xml:space="preserve">The final loss is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657475" cy="1123950"/>
                  <wp:effectExtent b="0" l="0" r="0" t="0"/>
                  <wp:docPr descr="ℒ = ℒtask + 0.20ℒscore + 0.50ℒbound + 0.15ℒdeg + 0.10ℒcons + 0.05 ℒmono + 0.15ℒrank." title="" id="79" name="Picture"/>
                  <a:graphic>
                    <a:graphicData uri="http://schemas.openxmlformats.org/drawingml/2006/picture">
                      <pic:pic>
                        <pic:nvPicPr>
                          <pic:cNvPr descr="manuscript_cee12x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81" w:name="x1-10005r12"/>
            <w:bookmarkEnd w:id="81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(12)</w:t>
            </w:r>
          </w:p>
        </w:tc>
      </w:tr>
    </w:tbl>
    <w:bookmarkStart w:id="86" w:name="x1-100061"/>
    <w:p>
      <w:pPr>
        <w:jc w:val="center"/>
      </w:pPr>
      <w:r>
        <w:drawing>
          <wp:inline>
            <wp:extent cx="5715000" cy="3048175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ethod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 1:</w:t>
      </w:r>
      <w:r>
        <w:t xml:space="preserve"> </w:t>
      </w:r>
      <w:r>
        <w:t xml:space="preserve">Bounded responsive fusion and recovery supervision. a</w:t>
      </w:r>
      <w:r>
        <w:t xml:space="preserve">, Each sensor group</w:t>
      </w:r>
      <w:r>
        <w:t xml:space="preserve"> </w:t>
      </w:r>
      <w:r>
        <w:t xml:space="preserve">produces class logits and a bounded operational response. Availability, optional diagnostic</w:t>
      </w:r>
      <w:r>
        <w:t xml:space="preserve"> </w:t>
      </w:r>
      <w:r>
        <w:t xml:space="preserve">quality and the response determine normalized fusion weights. Distinct connector ports separate</w:t>
      </w:r>
      <w:r>
        <w:t xml:space="preserve"> </w:t>
      </w:r>
      <w:r>
        <w:t xml:space="preserve">the logit and weight contributions to the fused prediction.</w:t>
      </w:r>
      <w:r>
        <w:t xml:space="preserve"> </w:t>
      </w:r>
      <w:r>
        <w:t xml:space="preserve">b</w:t>
      </w:r>
      <w:r>
        <w:t xml:space="preserve">, Clean and faulted views share</w:t>
      </w:r>
      <w:r>
        <w:t xml:space="preserve"> </w:t>
      </w:r>
      <w:r>
        <w:t xml:space="preserve">model parameters. The detached clean prediction supervises recovery of the faulted prediction;</w:t>
      </w:r>
      <w:r>
        <w:t xml:space="preserve"> </w:t>
      </w:r>
      <w:r>
        <w:t xml:space="preserve">proper-scoring and ranking terms are auxiliary controls.</w:t>
      </w:r>
    </w:p>
    <w:bookmarkEnd w:id="86"/>
    <w:bookmarkEnd w:id="87"/>
    <w:bookmarkStart w:id="97" w:name="comparators-and-mechanism-ablations"/>
    <w:p>
      <w:pPr>
        <w:pStyle w:val="Heading4"/>
      </w:pPr>
      <w:r>
        <w:t xml:space="preserve">3.4</w:t>
      </w:r>
      <w:r>
        <w:t xml:space="preserve"> </w:t>
      </w:r>
      <w:r>
        <w:t xml:space="preserve"> </w:t>
      </w:r>
      <w:bookmarkStart w:id="88" w:name="x1-110003.4"/>
      <w:bookmarkEnd w:id="88"/>
      <w:r>
        <w:t xml:space="preserve">Comparators and mechanism ablations</w:t>
      </w:r>
    </w:p>
    <w:p>
      <w:pPr>
        <w:pStyle w:val="FirstParagraph"/>
      </w:pPr>
      <w:r>
        <w:t xml:space="preserve">Early fusion concatenates zero-filled group features, masks and quality values before a 128</w:t>
      </w:r>
      <w:r>
        <w:t xml:space="preserve"> </w:t>
      </w:r>
      <w:r>
        <w:t xml:space="preserve">→</w:t>
      </w:r>
      <w:r>
        <w:t xml:space="preserve"> </w:t>
      </w:r>
      <w:r>
        <w:t xml:space="preserve">64</w:t>
      </w:r>
      <w:r>
        <w:t xml:space="preserve"> </w:t>
      </w:r>
      <w:r>
        <w:t xml:space="preserve">→</w:t>
      </w:r>
      <w:r>
        <w:t xml:space="preserve">C</w:t>
      </w:r>
      <w:r>
        <w:t xml:space="preserve"> </w:t>
      </w:r>
      <w:r>
        <w:t xml:space="preserve">multilayer perceptron; uniform fusion averages group logits. Both receive the same paired degradation and</w:t>
      </w:r>
      <w:r>
        <w:t xml:space="preserve"> </w:t>
      </w:r>
      <w:r>
        <w:t xml:space="preserve">degraded-task loss as PDRF. CAGF concatenates four 32-dimensional group representations,</w:t>
      </w:r>
      <w:r>
        <w:t xml:space="preserve"> </w:t>
      </w:r>
      <w:r>
        <w:t xml:space="preserve">masks and quality values before an unrestricted 64</w:t>
      </w:r>
      <w:r>
        <w:t xml:space="preserve"> </w:t>
      </w:r>
      <w:r>
        <w:t xml:space="preserve">→</w:t>
      </w:r>
      <w:r>
        <w:t xml:space="preserve">M</w:t>
      </w:r>
      <w:r>
        <w:t xml:space="preserve"> </w:t>
      </w:r>
      <w:r>
        <w:t xml:space="preserve">softmax gate. It shares PDRF’s</w:t>
      </w:r>
      <w:r>
        <w:t xml:space="preserve"> </w:t>
      </w:r>
      <w:r>
        <w:t xml:space="preserve">paired-degradation, consistency and normalized-weight monotonicity losses. Direct weight</w:t>
      </w:r>
      <w:r>
        <w:t xml:space="preserve"> </w:t>
      </w:r>
      <w:r>
        <w:t xml:space="preserve">ranking adds a gate-weight margin, while the quality-only control uses</w:t>
      </w:r>
      <w:r>
        <w:t xml:space="preserve"> </w:t>
      </w:r>
      <w:r>
        <w:t xml:space="preserve">a</w:t>
      </w:r>
      <w:r>
        <w:rPr>
          <w:vertAlign w:val="subscript"/>
        </w:rPr>
        <w:t xml:space="preserve">im</w:t>
      </w:r>
      <w:r>
        <w:t xml:space="preserve">q</w:t>
      </w:r>
      <w:r>
        <w:rPr>
          <w:vertAlign w:val="subscript"/>
        </w:rPr>
        <w:t xml:space="preserve">im</w:t>
      </w:r>
      <w:r>
        <w:t xml:space="preserve"> </w:t>
      </w:r>
      <w:r>
        <w:t xml:space="preserve">without a learned</w:t>
      </w:r>
      <w:r>
        <w:t xml:space="preserve"> </w:t>
      </w:r>
      <w:r>
        <w:t xml:space="preserve">response.</w:t>
      </w:r>
    </w:p>
    <w:p>
      <w:pPr>
        <w:pStyle w:val="BodyText"/>
      </w:pPr>
      <w:r>
        <w:t xml:space="preserve">RO-AT-GATE tests stronger cross-group interaction. It adds learned group identities to</w:t>
      </w:r>
      <w:r>
        <w:t xml:space="preserve"> </w:t>
      </w:r>
      <w:r>
        <w:t xml:space="preserve">32-dimensional tokens and applies one four-head attention layer with a 64-unit feed-forward block;</w:t>
      </w:r>
      <w:r>
        <w:t xml:space="preserve"> </w:t>
      </w:r>
      <w:r>
        <w:t xml:space="preserve">unavailable groups are masked. A shared 32 + 2</w:t>
      </w:r>
      <w:r>
        <w:t xml:space="preserve"> </w:t>
      </w:r>
      <w:r>
        <w:t xml:space="preserve">→</w:t>
      </w:r>
      <w:r>
        <w:t xml:space="preserve"> </w:t>
      </w:r>
      <w:r>
        <w:t xml:space="preserve">16</w:t>
      </w:r>
      <w:r>
        <w:t xml:space="preserve"> </w:t>
      </w:r>
      <w:r>
        <w:t xml:space="preserve">→</w:t>
      </w:r>
      <w:r>
        <w:t xml:space="preserve"> </w:t>
      </w:r>
      <w:r>
        <w:t xml:space="preserve">1 head maps each contextualized token,</w:t>
      </w:r>
      <w:r>
        <w:t xml:space="preserve"> </w:t>
      </w:r>
      <w:r>
        <w:t xml:space="preserve">availability and quality to an unrestricted softmax gate. The 26,809-parameter model receives the same</w:t>
      </w:r>
      <w:r>
        <w:t xml:space="preserve"> </w:t>
      </w:r>
      <w:r>
        <w:t xml:space="preserve">paired views and recovery objective as RO-CAGF. It is a sensor-group attention control, not a</w:t>
      </w:r>
      <w:r>
        <w:t xml:space="preserve"> </w:t>
      </w:r>
      <w:r>
        <w:t xml:space="preserve">reproduction of a task-specific vision or language system [</w:t>
      </w:r>
      <w:hyperlink w:anchor="Xli2024umdf">
        <w:r>
          <w:rPr>
            <w:rStyle w:val="Hyperlink"/>
          </w:rPr>
          <w:t xml:space="preserve">6</w:t>
        </w:r>
      </w:hyperlink>
      <w:r>
        <w:t xml:space="preserve">, </w:t>
      </w:r>
      <w:hyperlink w:anchor="Xgao2024aleatoric">
        <w:r>
          <w:rPr>
            <w:rStyle w:val="Hyperlink"/>
          </w:rPr>
          <w:t xml:space="preserve">12</w:t>
        </w:r>
      </w:hyperlink>
      <w:r>
        <w:t xml:space="preserve">, </w:t>
      </w:r>
      <w:hyperlink w:anchor="Xcho2025cocoon">
        <w:r>
          <w:rPr>
            <w:rStyle w:val="Hyperlink"/>
          </w:rPr>
          <w:t xml:space="preserve">13</w:t>
        </w:r>
      </w:hyperlink>
      <w:r>
        <w:t xml:space="preserve">].</w:t>
      </w:r>
    </w:p>
    <w:p>
      <w:pPr>
        <w:pStyle w:val="BodyText"/>
      </w:pPr>
      <w:r>
        <w:t xml:space="preserve">RO-MER supplies a sample-dependent multi-expert control motivated by failure-resilient routing [</w:t>
      </w:r>
      <w:hyperlink w:anchor="Xpark2025mome">
        <w:r>
          <w:rPr>
            <w:rStyle w:val="Hyperlink"/>
          </w:rPr>
          <w:t xml:space="preserve">14</w:t>
        </w:r>
      </w:hyperlink>
      <w:r>
        <w:t xml:space="preserve">].</w:t>
      </w:r>
      <w:r>
        <w:t xml:space="preserve"> </w:t>
      </w:r>
      <w:r>
        <w:t xml:space="preserve">It combines one classifier per physical group with a joint 64-unit expert and a separate 64-unit router. The</w:t>
      </w:r>
      <w:r>
        <w:t xml:space="preserve"> </w:t>
      </w:r>
      <w:r>
        <w:t xml:space="preserve">prediction uses the resulting (</w:t>
      </w:r>
      <w:r>
        <w:t xml:space="preserve">M</w:t>
      </w:r>
      <w:r>
        <w:t xml:space="preserve"> </w:t>
      </w:r>
      <w:r>
        <w:t xml:space="preserve">+ 1)-expert distribution. Losses requiring physical-group weights use the</w:t>
      </w:r>
      <w:r>
        <w:t xml:space="preserve"> </w:t>
      </w:r>
      <w:r>
        <w:t xml:space="preserve">differentiable allocation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238375" cy="438150"/>
                  <wp:effectExtent b="0" l="0" r="0" t="0"/>
                  <wp:docPr descr=" eff aim w im = αim + αiJ∑--a--. k ik" title="" id="90" name="Picture"/>
                  <a:graphic>
                    <a:graphicData uri="http://schemas.openxmlformats.org/drawingml/2006/picture">
                      <pic:pic>
                        <pic:nvPicPr>
                          <pic:cNvPr descr="manuscript_cee13x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92" w:name="x1-11001r13"/>
            <w:bookmarkEnd w:id="92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(13)</w:t>
            </w:r>
          </w:p>
        </w:tc>
      </w:tr>
    </w:tbl>
    <w:p>
      <w:pPr>
        <w:pStyle w:val="BodyText"/>
      </w:pPr>
      <w:r>
        <w:t xml:space="preserve">The joint probability is distributed uniformly only for shared monotonicity and gate regularization;</w:t>
      </w:r>
      <w:r>
        <w:t xml:space="preserve"> </w:t>
      </w:r>
      <w:r>
        <w:t xml:space="preserve">Eq. (</w:t>
      </w:r>
      <w:hyperlink w:anchor="x1-11001r13">
        <w:r>
          <w:rPr>
            <w:rStyle w:val="Hyperlink"/>
          </w:rPr>
          <w:t xml:space="preserve">13</w:t>
        </w:r>
      </w:hyperlink>
      <w:r>
        <w:t xml:space="preserve">) does not alter the prediction. RO-MER has 35,811 parameters and uses the same faults, batches,</w:t>
      </w:r>
      <w:r>
        <w:t xml:space="preserve"> </w:t>
      </w:r>
      <w:r>
        <w:t xml:space="preserve">seeds and checkpoint rule as RO-CAGF and RO-PDRF-Full.</w:t>
      </w:r>
    </w:p>
    <w:p>
      <w:pPr>
        <w:pStyle w:val="BodyText"/>
      </w:pPr>
      <w:r>
        <w:t xml:space="preserve">The complete RO-MER objective is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5334000" cy="471956"/>
                  <wp:effectExtent b="0" l="0" r="0" t="0"/>
                  <wp:docPr descr="ℒRO -MER = ℒtask + 0.15ℒdeg + 0.10ℒcons + 0.05ℒmono + 0.30ℒrec + 0.05ℒBrier + 0.10ℒAUC + 0.005ℒrouter," title="" id="94" name="Picture"/>
                  <a:graphic>
                    <a:graphicData uri="http://schemas.openxmlformats.org/drawingml/2006/picture">
                      <pic:pic>
                        <pic:nvPicPr>
                          <pic:cNvPr descr="manuscript_cee14x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1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96" w:name="x1-11002r14"/>
            <w:bookmarkEnd w:id="96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(14)</w:t>
            </w:r>
          </w:p>
        </w:tc>
      </w:tr>
    </w:tbl>
    <w:p>
      <w:pPr>
        <w:pStyle w:val="BodyText"/>
      </w:pPr>
      <w:r>
        <w:t xml:space="preserve">Here</w:t>
      </w:r>
      <w:r>
        <w:t xml:space="preserve"> </w:t>
      </w:r>
      <w:r>
        <w:t xml:space="preserve">ℒ</w:t>
      </w:r>
      <w:r>
        <w:rPr>
          <w:vertAlign w:val="subscript"/>
        </w:rPr>
        <w:t xml:space="preserve">router</w:t>
      </w:r>
      <w:r>
        <w:t xml:space="preserve"> </w:t>
      </w:r>
      <w:r>
        <w:t xml:space="preserve">is the clean-plus-degraded Kullback–Leibler divergence from</w:t>
      </w:r>
      <w:r>
        <w:t xml:space="preserve"> </w:t>
      </w:r>
      <w:r>
        <w:t xml:space="preserve">w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eff</w:t>
      </w:r>
      <w:r>
        <w:t xml:space="preserve"> </w:t>
      </w:r>
      <w:r>
        <w:t xml:space="preserve">to uniform allocation over</w:t>
      </w:r>
      <w:r>
        <w:t xml:space="preserve"> </w:t>
      </w:r>
      <w:r>
        <w:t xml:space="preserve">available groups. RO-CAGF uses the same coefficients with native softmax weights; RO-PDRF-Full</w:t>
      </w:r>
      <w:r>
        <w:t xml:space="preserve"> </w:t>
      </w:r>
      <w:r>
        <w:t xml:space="preserve">substitutes its response-interior penalty. Recovery supervision, proper scoring, pairwise ranking, paired</w:t>
      </w:r>
      <w:r>
        <w:t xml:space="preserve"> </w:t>
      </w:r>
      <w:r>
        <w:t xml:space="preserve">views and task losses are otherwise matched.</w:t>
      </w:r>
    </w:p>
    <w:p>
      <w:pPr>
        <w:pStyle w:val="BodyText"/>
      </w:pPr>
      <w:r>
        <w:t xml:space="preserve">We additionally adapt Quality-aware Multimodal Fusion (QMF) to the same four sensor groups while</w:t>
      </w:r>
      <w:r>
        <w:t xml:space="preserve"> </w:t>
      </w:r>
      <w:r>
        <w:t xml:space="preserve">retaining its detached energy-confidence fusion and historical-loss ranking rule [</w:t>
      </w:r>
      <w:hyperlink w:anchor="Xzhang2023qmf">
        <w:r>
          <w:rPr>
            <w:rStyle w:val="Hyperlink"/>
          </w:rPr>
          <w:t xml:space="preserve">18</w:t>
        </w:r>
      </w:hyperlink>
      <w:r>
        <w:t xml:space="preserve">]. This QMF-PD</w:t>
      </w:r>
      <w:r>
        <w:t xml:space="preserve"> </w:t>
      </w:r>
      <w:r>
        <w:t xml:space="preserve">control shares the present encoders, corruptions, optimizer, split and checkpoint criterion; it is</w:t>
      </w:r>
      <w:r>
        <w:t xml:space="preserve"> </w:t>
      </w:r>
      <w:r>
        <w:t xml:space="preserve">a sensor-group adaptation rather than an exact reproduction of the original backbones or</w:t>
      </w:r>
      <w:r>
        <w:t xml:space="preserve"> </w:t>
      </w:r>
      <w:r>
        <w:t xml:space="preserve">tasks. Implementation choices and sensitivity variants are specified in the Supplementary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PDRF contains 19,740 trainable parameters on the chemical array, compared with 26,588 for CAGF</w:t>
      </w:r>
      <w:r>
        <w:t xml:space="preserve"> </w:t>
      </w:r>
      <w:r>
        <w:t xml:space="preserve">and DWR, 35,811 for RO-MER, 26,182 for early fusion and 17,560 for uniform fusion. Ablations comprise</w:t>
      </w:r>
      <w:r>
        <w:t xml:space="preserve"> </w:t>
      </w:r>
      <w:r>
        <w:t xml:space="preserve">paired degradation only (PD-ONLY), paired degradation plus normalized-weight monotonicity</w:t>
      </w:r>
      <w:r>
        <w:t xml:space="preserve"> </w:t>
      </w:r>
      <w:r>
        <w:t xml:space="preserve">(PD-MONO), paired degradation plus response ranking (PD-RANK), the complete objective without</w:t>
      </w:r>
      <w:r>
        <w:t xml:space="preserve"> </w:t>
      </w:r>
      <w:r>
        <w:t xml:space="preserve">ℒ</w:t>
      </w:r>
      <w:r>
        <w:rPr>
          <w:vertAlign w:val="subscript"/>
        </w:rPr>
        <w:t xml:space="preserve">score</w:t>
      </w:r>
      <w:r>
        <w:t xml:space="preserve"> </w:t>
      </w:r>
      <w:r>
        <w:t xml:space="preserve">(NO-LSCORE), and</w:t>
      </w:r>
      <w:r>
        <w:t xml:space="preserve"> </w:t>
      </w:r>
      <w:r>
        <w:t xml:space="preserve">ℒ</w:t>
      </w:r>
      <w:r>
        <w:rPr>
          <w:vertAlign w:val="subscript"/>
        </w:rPr>
        <w:t xml:space="preserve">score</w:t>
      </w:r>
      <w:r>
        <w:t xml:space="preserve"> </w:t>
      </w:r>
      <w:r>
        <w:t xml:space="preserve">without</w:t>
      </w:r>
      <w:r>
        <w:t xml:space="preserve"> </w:t>
      </w:r>
      <w:r>
        <w:t xml:space="preserve">ℒ</w:t>
      </w:r>
      <w:r>
        <w:rPr>
          <w:vertAlign w:val="subscript"/>
        </w:rPr>
        <w:t xml:space="preserve">rank</w:t>
      </w:r>
      <w:r>
        <w:t xml:space="preserve"> </w:t>
      </w:r>
      <w:r>
        <w:t xml:space="preserve">(LSCORE-NO-LRANK). A PDRF-NOQ model is trained</w:t>
      </w:r>
      <w:r>
        <w:t xml:space="preserve"> </w:t>
      </w:r>
      <w:r>
        <w:t xml:space="preserve">and tested with all quality values fixed to one.</w:t>
      </w:r>
    </w:p>
    <w:bookmarkEnd w:id="97"/>
    <w:bookmarkStart w:id="118" w:name="recoveryoriented-extension"/>
    <w:p>
      <w:pPr>
        <w:pStyle w:val="Heading4"/>
      </w:pPr>
      <w:r>
        <w:t xml:space="preserve">3.5</w:t>
      </w:r>
      <w:r>
        <w:t xml:space="preserve"> </w:t>
      </w:r>
      <w:r>
        <w:t xml:space="preserve"> </w:t>
      </w:r>
      <w:bookmarkStart w:id="98" w:name="x1-120003.5"/>
      <w:bookmarkEnd w:id="98"/>
      <w:r>
        <w:t xml:space="preserve">Recovery-oriented extension</w:t>
      </w:r>
    </w:p>
    <w:p>
      <w:pPr>
        <w:pStyle w:val="FirstParagraph"/>
      </w:pPr>
      <w:r>
        <w:t xml:space="preserve">Reducing an affected group’s weight did not ensure prediction recovery. RO-PDRF therefore retains the</w:t>
      </w:r>
      <w:r>
        <w:t xml:space="preserve"> </w:t>
      </w:r>
      <w:r>
        <w:t xml:space="preserve">PDRF architecture and distils the degraded prediction from the detached clean-view prediction. Writing</w:t>
      </w:r>
      <w:r>
        <w:t xml:space="preserve"> </w:t>
      </w:r>
      <w:r>
        <w:drawing>
          <wp:inline>
            <wp:extent cx="133350" cy="219075"/>
            <wp:effectExtent b="0" l="0" r="0" t="0"/>
            <wp:docPr descr="^p" title="" id="100" name="Picture"/>
            <a:graphic>
              <a:graphicData uri="http://schemas.openxmlformats.org/drawingml/2006/picture">
                <pic:pic>
                  <pic:nvPicPr>
                    <pic:cNvPr descr="manuscript_cee15x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vertAlign w:val="subscript"/>
        </w:rPr>
        <w:t xml:space="preserve">i</w:t>
      </w:r>
      <w:r>
        <w:t xml:space="preserve"> </w:t>
      </w:r>
      <w:r>
        <w:t xml:space="preserve">= stopgrad(</w:t>
      </w:r>
      <w:r>
        <w:t xml:space="preserve">p</w:t>
      </w:r>
      <w:r>
        <w:rPr>
          <w:vertAlign w:val="subscript"/>
        </w:rPr>
        <w:t xml:space="preserve">i</w:t>
      </w:r>
      <w:r>
        <w:t xml:space="preserve">) gives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714625" cy="561975"/>
                  <wp:effectExtent b="0" l="0" r="0" t="0"/>
                  <wp:docPr descr=" 1 ∑ [ ] ℒrec = ---- DKL ^pi∥p ′i . |𝒱ℬ |i∈𝒱ℬ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manuscript_cee16x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05" w:name="x1-12001r15"/>
            <w:bookmarkEnd w:id="105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(15)</w:t>
            </w:r>
          </w:p>
        </w:tc>
      </w:tr>
    </w:tbl>
    <w:p>
      <w:pPr>
        <w:pStyle w:val="BodyText"/>
      </w:pPr>
      <w:r>
        <w:t xml:space="preserve">ℒ</w:t>
      </w:r>
      <w:r>
        <w:rPr>
          <w:vertAlign w:val="subscript"/>
        </w:rPr>
        <w:t xml:space="preserve">rec</w:t>
      </w:r>
      <w:r>
        <w:t xml:space="preserve"> </w:t>
      </w:r>
      <w:r>
        <w:t xml:space="preserve">requires at least two available groups and is omitted when</w:t>
      </w:r>
      <w:r>
        <w:t xml:space="preserve"> </w:t>
      </w:r>
      <w:r>
        <w:t xml:space="preserve">𝒱</w:t>
      </w:r>
      <w:r>
        <w:rPr>
          <w:vertAlign w:val="subscript"/>
        </w:rPr>
        <w:t xml:space="preserve">ℬ</w:t>
      </w:r>
      <w:r>
        <w:t xml:space="preserve"> </w:t>
      </w:r>
      <w:r>
        <w:t xml:space="preserve">is empty. This excluded</w:t>
      </w:r>
      <w:r>
        <w:t xml:space="preserve"> </w:t>
      </w:r>
      <w:r>
        <w:t xml:space="preserve">0</w:t>
      </w:r>
      <w:r>
        <w:t xml:space="preserve">.</w:t>
      </w:r>
      <w:r>
        <w:t xml:space="preserve">386%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052% of 5,933 training rows across seeds. PDRF plus 0</w:t>
      </w:r>
      <w:r>
        <w:t xml:space="preserve">.</w:t>
      </w:r>
      <w:r>
        <w:t xml:space="preserve">30</w:t>
      </w:r>
      <w:r>
        <w:t xml:space="preserve">ℒ</w:t>
      </w:r>
      <w:r>
        <w:rPr>
          <w:vertAlign w:val="subscript"/>
        </w:rPr>
        <w:t xml:space="preserve">rec</w:t>
      </w:r>
      <w:r>
        <w:t xml:space="preserve"> </w:t>
      </w:r>
      <w:r>
        <w:t xml:space="preserve">defines RO-PDRF-Lite.</w:t>
      </w:r>
      <w:r>
        <w:t xml:space="preserve"> </w:t>
      </w:r>
      <w:r>
        <w:t xml:space="preserve">Label-assisted, confidence-weighted, exponential-moving-average and agreement-gated teachers remain</w:t>
      </w:r>
      <w:r>
        <w:t xml:space="preserve"> </w:t>
      </w:r>
      <w:r>
        <w:t xml:space="preserve">supplementary controls; the deployed selector uses no held-out label [</w:t>
      </w:r>
      <w:hyperlink w:anchor="Xtarvainen2017mean">
        <w:r>
          <w:rPr>
            <w:rStyle w:val="Hyperlink"/>
          </w:rPr>
          <w:t xml:space="preserve">58</w:t>
        </w:r>
      </w:hyperlink>
      <w:r>
        <w:t xml:space="preserve">].</w:t>
      </w:r>
    </w:p>
    <w:p>
      <w:pPr>
        <w:pStyle w:val="BodyText"/>
      </w:pPr>
      <w:r>
        <w:t xml:space="preserve">Second, multiclass Brier losses on clean and degraded predictions provide proper-scoring</w:t>
      </w:r>
      <w:r>
        <w:t xml:space="preserve"> </w:t>
      </w:r>
      <w:r>
        <w:t xml:space="preserve">supervision,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771775" cy="1181100"/>
                  <wp:effectExtent b="0" l="0" r="0" t="0"/>
                  <wp:docPr descr=" ∑ ℒBrier = -1- ∥pi − eyi∥22 |ℬ |i∈ℬ 1 ∑ + --- ∥p′i − eyi∥22. |ℬ| i∈ℬ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manuscript_cee17x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09" w:name="x1-12002r16"/>
            <w:bookmarkEnd w:id="109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(16)</w:t>
            </w:r>
          </w:p>
        </w:tc>
      </w:tr>
    </w:tbl>
    <w:p>
      <w:pPr>
        <w:pStyle w:val="BodyText"/>
      </w:pPr>
      <w:r>
        <w:t xml:space="preserve">The Brier term is unweighted; class weights remain confined to cross-entropy. A weak log barrier then</w:t>
      </w:r>
      <w:r>
        <w:t xml:space="preserve"> </w:t>
      </w:r>
      <w:r>
        <w:t xml:space="preserve">discourages boundary occupancy without removing the quartic penalty. With</w:t>
      </w:r>
      <w:r>
        <w:t xml:space="preserve"> </w:t>
      </w:r>
      <w:r>
        <w:t xml:space="preserve">𝜖</w:t>
      </w:r>
      <w:r>
        <w:t xml:space="preserve"> </w:t>
      </w:r>
      <w:r>
        <w:t xml:space="preserve">=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, define</w:t>
      </w:r>
      <w:r>
        <w:t xml:space="preserve"> </w:t>
      </w:r>
      <w:r>
        <w:t xml:space="preserve">b</w:t>
      </w:r>
      <w:r>
        <w:rPr>
          <w:vertAlign w:val="subscript"/>
        </w:rPr>
        <w:t xml:space="preserve">𝜖</w:t>
      </w:r>
      <w:r>
        <w:t xml:space="preserve">(</w:t>
      </w:r>
      <w:r>
        <w:t xml:space="preserve">r</w:t>
      </w:r>
      <w:r>
        <w:t xml:space="preserve">) =</w:t>
      </w:r>
      <w:r>
        <w:t xml:space="preserve"> </w:t>
      </w:r>
      <w:r>
        <w:t xml:space="preserve">−</w:t>
      </w:r>
      <w:r>
        <w:t xml:space="preserve">log</w:t>
      </w:r>
      <w:r>
        <w:t xml:space="preserve">{</w:t>
      </w:r>
      <w:r>
        <w:t xml:space="preserve">max[</w:t>
      </w:r>
      <w:r>
        <w:t xml:space="preserve">𝜖,</w:t>
      </w:r>
      <w:r>
        <w:t xml:space="preserve">1</w:t>
      </w:r>
      <w:r>
        <w:t xml:space="preserve"> </w:t>
      </w:r>
      <w:r>
        <w:t xml:space="preserve">−</w:t>
      </w:r>
      <w:r>
        <w:t xml:space="preserve"> </w:t>
      </w:r>
      <w:r>
        <w:t xml:space="preserve">(</w:t>
      </w:r>
      <w:r>
        <w:t xml:space="preserve">r∕B</w:t>
      </w:r>
      <w:r>
        <w:t xml:space="preserve">)</w:t>
      </w:r>
      <w:r>
        <w:rPr>
          <w:vertAlign w:val="superscript"/>
        </w:rPr>
        <w:t xml:space="preserve">2</w:t>
      </w:r>
      <w:r>
        <w:t xml:space="preserve">]</w:t>
      </w:r>
      <w:r>
        <w:t xml:space="preserve">}</w:t>
      </w:r>
      <w:r>
        <w:t xml:space="preserve">,</w:t>
      </w:r>
      <w:r>
        <w:t xml:space="preserve"> </w:t>
      </w:r>
      <w:r>
        <w:t xml:space="preserve">b</w:t>
      </w:r>
      <w:r>
        <w:rPr>
          <w:vertAlign w:val="subscript"/>
        </w:rPr>
        <w:t xml:space="preserve">im</w:t>
      </w:r>
      <w:r>
        <w:t xml:space="preserve"> </w:t>
      </w:r>
      <w:r>
        <w:t xml:space="preserve">=</w:t>
      </w:r>
      <w:r>
        <w:t xml:space="preserve"> </w:t>
      </w:r>
      <w:r>
        <w:t xml:space="preserve">b</w:t>
      </w:r>
      <w:r>
        <w:rPr>
          <w:vertAlign w:val="subscript"/>
        </w:rPr>
        <w:t xml:space="preserve">𝜖</w:t>
      </w:r>
      <w:r>
        <w:t xml:space="preserve">(</w:t>
      </w:r>
      <w:r>
        <w:t xml:space="preserve">r</w:t>
      </w:r>
      <w:r>
        <w:rPr>
          <w:vertAlign w:val="subscript"/>
        </w:rPr>
        <w:t xml:space="preserve">im</w:t>
      </w:r>
      <w:r>
        <w:t xml:space="preserve">) +</w:t>
      </w:r>
      <w:r>
        <w:t xml:space="preserve"> </w:t>
      </w:r>
      <w:r>
        <w:t xml:space="preserve">b</w:t>
      </w:r>
      <w:r>
        <w:rPr>
          <w:vertAlign w:val="subscript"/>
        </w:rPr>
        <w:t xml:space="preserve">𝜖</w:t>
      </w:r>
      <w:r>
        <w:t xml:space="preserve">(</w:t>
      </w:r>
      <w:r>
        <w:t xml:space="preserve">r</w:t>
      </w:r>
      <w:r>
        <w:t xml:space="preserve">′</w:t>
      </w:r>
      <w:r>
        <w:rPr>
          <w:vertAlign w:val="subscript"/>
        </w:rPr>
        <w:t xml:space="preserve">im</w:t>
      </w:r>
      <w:r>
        <w:t xml:space="preserve">) and</w:t>
      </w:r>
      <w:r>
        <w:t xml:space="preserve"> </w:t>
      </w:r>
      <w:r>
        <w:t xml:space="preserve">Z</w:t>
      </w:r>
      <w:r>
        <w:rPr>
          <w:vertAlign w:val="subscript"/>
        </w:rPr>
        <w:t xml:space="preserve">ℬ</w:t>
      </w:r>
      <w:r>
        <w:t xml:space="preserve"> </w:t>
      </w:r>
      <w:r>
        <w:t xml:space="preserve">=</w:t>
      </w:r>
      <w:r>
        <w:t xml:space="preserve"> </w:t>
      </w:r>
      <w:r>
        <w:t xml:space="preserve">∑</w:t>
      </w:r>
      <w:r>
        <w:t xml:space="preserve"> </w:t>
      </w:r>
      <w:r>
        <w:rPr>
          <w:vertAlign w:val="subscript"/>
        </w:rPr>
        <w:t xml:space="preserve">i</w:t>
      </w:r>
      <w:r>
        <w:rPr>
          <w:vertAlign w:val="subscript"/>
        </w:rPr>
        <w:t xml:space="preserve">∈ℬ</w:t>
      </w:r>
      <w:r>
        <w:t xml:space="preserve">∑</w:t>
      </w:r>
      <w:r>
        <w:t xml:space="preserve"> </w:t>
      </w:r>
      <w:r>
        <w:rPr>
          <w:vertAlign w:val="subscript"/>
        </w:rPr>
        <w:t xml:space="preserve">m</w:t>
      </w:r>
      <w:r>
        <w:t xml:space="preserve">a</w:t>
      </w:r>
      <w:r>
        <w:rPr>
          <w:vertAlign w:val="subscript"/>
        </w:rPr>
        <w:t xml:space="preserve">im</w:t>
      </w:r>
      <w:r>
        <w:t xml:space="preserve">: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676525" cy="466725"/>
                  <wp:effectExtent b="0" l="0" r="0" t="0"/>
                  <wp:docPr descr=" ∑ ∑ ℒinterior = Z−1 aim¯bim. ℬ i∈ℬ m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manuscript_cee18x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13" w:name="x1-12003r17"/>
            <w:bookmarkEnd w:id="113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(17)</w:t>
            </w:r>
          </w:p>
        </w:tc>
      </w:tr>
    </w:tbl>
    <w:p>
      <w:pPr>
        <w:pStyle w:val="BodyText"/>
      </w:pPr>
      <w:r>
        <w:t xml:space="preserve">Unavailable groups are excluded by</w:t>
      </w:r>
      <w:r>
        <w:t xml:space="preserve"> </w:t>
      </w:r>
      <w:r>
        <w:t xml:space="preserve">a</w:t>
      </w:r>
      <w:r>
        <w:rPr>
          <w:vertAlign w:val="subscript"/>
        </w:rPr>
        <w:t xml:space="preserve">im</w:t>
      </w:r>
      <w:r>
        <w:t xml:space="preserve">; the clamp is numerical. Finally, a smooth one-versus-rest pairwise</w:t>
      </w:r>
      <w:r>
        <w:t xml:space="preserve"> </w:t>
      </w:r>
      <w:r>
        <w:t xml:space="preserve">loss supervises degraded-view class ordering. Let</w:t>
      </w:r>
      <w:r>
        <w:t xml:space="preserve"> </w:t>
      </w:r>
      <w:r>
        <w:t xml:space="preserve">P</w:t>
      </w:r>
      <w:r>
        <w:rPr>
          <w:vertAlign w:val="subscript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denote positive and negative minibatch</w:t>
      </w:r>
      <w:r>
        <w:t xml:space="preserve"> </w:t>
      </w:r>
      <w:r>
        <w:t xml:space="preserve">observations,</w:t>
      </w:r>
      <w:r>
        <w:t xml:space="preserve"> </w:t>
      </w:r>
      <w:r>
        <w:t xml:space="preserve">𝒞</w:t>
      </w:r>
      <w:r>
        <w:rPr>
          <w:vertAlign w:val="subscript"/>
        </w:rPr>
        <w:t xml:space="preserve">ℬ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c</w:t>
      </w:r>
      <w:r>
        <w:t xml:space="preserve"> </w:t>
      </w:r>
      <w:r>
        <w:t xml:space="preserve">:</w:t>
      </w:r>
      <w:r>
        <w:t xml:space="preserve"> </w:t>
      </w:r>
      <w:r>
        <w:t xml:space="preserve">|</w:t>
      </w:r>
      <w:r>
        <w:t xml:space="preserve">P</w:t>
      </w:r>
      <w:r>
        <w:rPr>
          <w:vertAlign w:val="subscript"/>
        </w:rPr>
        <w:t xml:space="preserve">c</w:t>
      </w:r>
      <w:r>
        <w:t xml:space="preserve">|</w:t>
      </w:r>
      <w:r>
        <w:t xml:space="preserve">&gt;</w:t>
      </w:r>
      <w:r>
        <w:t xml:space="preserve"> </w:t>
      </w:r>
      <w:r>
        <w:t xml:space="preserve">0</w:t>
      </w:r>
      <w:r>
        <w:t xml:space="preserve">,</w:t>
      </w:r>
      <w:r>
        <w:t xml:space="preserve">|</w:t>
      </w:r>
      <w:r>
        <w:t xml:space="preserve">N</w:t>
      </w:r>
      <w:r>
        <w:rPr>
          <w:vertAlign w:val="subscript"/>
        </w:rPr>
        <w:t xml:space="preserve">c</w:t>
      </w:r>
      <w:r>
        <w:t xml:space="preserve">|</w:t>
      </w:r>
      <w:r>
        <w:t xml:space="preserve">&gt;</w:t>
      </w:r>
      <w:r>
        <w:t xml:space="preserve"> </w:t>
      </w:r>
      <w:r>
        <w:t xml:space="preserve">0</w:t>
      </w:r>
      <w:r>
        <w:t xml:space="preserve">}</w:t>
      </w:r>
      <w:r>
        <w:t xml:space="preserve"> </w:t>
      </w:r>
      <w:r>
        <w:t xml:space="preserve">and</w:t>
      </w:r>
      <w:r>
        <w:t xml:space="preserve"> </w:t>
      </w:r>
      <w:r>
        <w:t xml:space="preserve">ϕ</w:t>
      </w:r>
      <w:r>
        <w:rPr>
          <w:vertAlign w:val="subscript"/>
        </w:rPr>
        <w:t xml:space="preserve">ijc</w:t>
      </w:r>
      <w:r>
        <w:t xml:space="preserve"> </w:t>
      </w:r>
      <w:r>
        <w:t xml:space="preserve">= softplus[</w:t>
      </w:r>
      <w:r>
        <w:t xml:space="preserve">−</w:t>
      </w:r>
      <w:r>
        <w:t xml:space="preserve">(</w:t>
      </w:r>
      <w:r>
        <w:t xml:space="preserve">ℓ</w:t>
      </w:r>
      <w:r>
        <w:t xml:space="preserve">′</w:t>
      </w:r>
      <w:r>
        <w:rPr>
          <w:vertAlign w:val="subscript"/>
        </w:rPr>
        <w:t xml:space="preserve">ic</w:t>
      </w:r>
      <w:r>
        <w:t xml:space="preserve"> </w:t>
      </w:r>
      <w:r>
        <w:t xml:space="preserve">−</w:t>
      </w:r>
      <w:r>
        <w:t xml:space="preserve">ℓ</w:t>
      </w:r>
      <w:r>
        <w:t xml:space="preserve">′</w:t>
      </w:r>
      <w:r>
        <w:rPr>
          <w:vertAlign w:val="subscript"/>
        </w:rPr>
        <w:t xml:space="preserve">jc</w:t>
      </w:r>
      <w:r>
        <w:t xml:space="preserve">)]: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47925" cy="1181100"/>
                  <wp:effectExtent b="0" l="0" r="0" t="0"/>
                  <wp:docPr descr=" ∑ ℒAUC = -1-- Ac, |𝒞ℬ|c∈𝒞ℬ ∑ ∑ Ac = --i∈Pc---j∈Nc-ϕijc. |Pc||Nc|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manuscript_cee19x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17" w:name="x1-12004r18"/>
            <w:bookmarkEnd w:id="117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(18)</w:t>
            </w:r>
          </w:p>
        </w:tc>
      </w:tr>
    </w:tbl>
    <w:p>
      <w:pPr>
        <w:pStyle w:val="BodyText"/>
      </w:pPr>
      <w:r>
        <w:t xml:space="preserve">The pairwise term is omitted when no class has both outcomes [</w:t>
      </w:r>
      <w:hyperlink w:anchor="Xyang2021pairwise">
        <w:r>
          <w:rPr>
            <w:rStyle w:val="Hyperlink"/>
          </w:rPr>
          <w:t xml:space="preserve">59</w:t>
        </w:r>
      </w:hyperlink>
      <w:r>
        <w:t xml:space="preserve">]. RO-PDRF-Full adds</w:t>
      </w:r>
      <w:r>
        <w:t xml:space="preserve"> </w:t>
      </w:r>
      <w:r>
        <w:t xml:space="preserve">0</w:t>
      </w:r>
      <w:r>
        <w:t xml:space="preserve">.</w:t>
      </w:r>
      <w:r>
        <w:t xml:space="preserve">30</w:t>
      </w:r>
      <w:r>
        <w:t xml:space="preserve">ℒ</w:t>
      </w:r>
      <w:r>
        <w:rPr>
          <w:vertAlign w:val="subscript"/>
        </w:rPr>
        <w:t xml:space="preserve">rec</w:t>
      </w:r>
      <w:r>
        <w:t xml:space="preserve"> </w:t>
      </w:r>
      <w:r>
        <w:t xml:space="preserve">+ 0</w:t>
      </w:r>
      <w:r>
        <w:t xml:space="preserve">.</w:t>
      </w:r>
      <w:r>
        <w:t xml:space="preserve">05</w:t>
      </w:r>
      <w:r>
        <w:t xml:space="preserve">ℒ</w:t>
      </w:r>
      <w:r>
        <w:rPr>
          <w:vertAlign w:val="subscript"/>
        </w:rPr>
        <w:t xml:space="preserve">Brier</w:t>
      </w:r>
      <w:r>
        <w:t xml:space="preserve"> </w:t>
      </w:r>
      <w:r>
        <w:t xml:space="preserve">+ 0</w:t>
      </w:r>
      <w:r>
        <w:t xml:space="preserve">.</w:t>
      </w:r>
      <w:r>
        <w:t xml:space="preserve">005</w:t>
      </w:r>
      <w:r>
        <w:t xml:space="preserve">ℒ</w:t>
      </w:r>
      <w:r>
        <w:rPr>
          <w:vertAlign w:val="subscript"/>
        </w:rPr>
        <w:t xml:space="preserve">interior</w:t>
      </w:r>
      <w:r>
        <w:t xml:space="preserve"> </w:t>
      </w:r>
      <w:r>
        <w:t xml:space="preserve">+ 0</w:t>
      </w:r>
      <w:r>
        <w:t xml:space="preserve">.</w:t>
      </w:r>
      <w:r>
        <w:t xml:space="preserve">10</w:t>
      </w:r>
      <w:r>
        <w:t xml:space="preserve">ℒ</w:t>
      </w:r>
      <w:r>
        <w:rPr>
          <w:vertAlign w:val="subscript"/>
        </w:rPr>
        <w:t xml:space="preserve">AUC</w:t>
      </w:r>
      <w:r>
        <w:t xml:space="preserve"> </w:t>
      </w:r>
      <w:r>
        <w:t xml:space="preserve">to Eq. (</w:t>
      </w:r>
      <w:hyperlink w:anchor="x1-10005r12">
        <w:r>
          <w:rPr>
            <w:rStyle w:val="Hyperlink"/>
          </w:rPr>
          <w:t xml:space="preserve">12</w:t>
        </w:r>
      </w:hyperlink>
      <w:r>
        <w:t xml:space="preserve">). RO-PDRF-Lite is the practical default, Full</w:t>
      </w:r>
      <w:r>
        <w:t xml:space="preserve"> </w:t>
      </w:r>
      <w:r>
        <w:t xml:space="preserve">is the mechanistic architecture comparator and RO-PDRF-EMA is a Full-based calibration sensitivity. No</w:t>
      </w:r>
      <w:r>
        <w:t xml:space="preserve"> </w:t>
      </w:r>
      <w:r>
        <w:t xml:space="preserve">test observation fits a model or ensemble parameter.</w:t>
      </w:r>
    </w:p>
    <w:p>
      <w:pPr>
        <w:pStyle w:val="BodyText"/>
      </w:pPr>
      <w:r>
        <w:t xml:space="preserve">To separate recovery supervision from architecture, we also train recovery-oriented CAGF</w:t>
      </w:r>
      <w:r>
        <w:t xml:space="preserve"> </w:t>
      </w:r>
      <w:r>
        <w:t xml:space="preserve">(RO-CAGF). It receives the same clean-view distillation, Brier and degraded-view ranking losses as</w:t>
      </w:r>
      <w:r>
        <w:t xml:space="preserve"> </w:t>
      </w:r>
      <w:r>
        <w:t xml:space="preserve">RO-PDRF-Full. Its unrestricted softmax gate uses a weak KL-to-uniform regularizer (weight 0.005),</w:t>
      </w:r>
      <w:r>
        <w:t xml:space="preserve"> </w:t>
      </w:r>
      <w:r>
        <w:t xml:space="preserve">whereas RO-PDRF-Full uses the response-interior penalty. The matched data, fixed faults, seeds,</w:t>
      </w:r>
      <w:r>
        <w:t xml:space="preserve"> </w:t>
      </w:r>
      <w:r>
        <w:t xml:space="preserve">minibatches and checkpoint rules isolate architecture subject to this necessary regularizer</w:t>
      </w:r>
      <w:r>
        <w:t xml:space="preserve"> </w:t>
      </w:r>
      <w:r>
        <w:t xml:space="preserve">difference. Regularizer grids, early/uniform-fusion controls, modality-dropout self-distillation and</w:t>
      </w:r>
      <w:r>
        <w:t xml:space="preserve"> </w:t>
      </w:r>
      <w:r>
        <w:t xml:space="preserve">confidence-thresholded distillation are reported in the Supplementary Information [</w:t>
      </w:r>
      <w:hyperlink w:anchor="Xneverova2016moddrop">
        <w:r>
          <w:rPr>
            <w:rStyle w:val="Hyperlink"/>
          </w:rPr>
          <w:t xml:space="preserve">5</w:t>
        </w:r>
      </w:hyperlink>
      <w:r>
        <w:t xml:space="preserve">, </w:t>
      </w:r>
      <w:hyperlink w:anchor="Xli2024umdf">
        <w:r>
          <w:rPr>
            <w:rStyle w:val="Hyperlink"/>
          </w:rPr>
          <w:t xml:space="preserve">6</w:t>
        </w:r>
      </w:hyperlink>
      <w:r>
        <w:t xml:space="preserve">].</w:t>
      </w:r>
    </w:p>
    <w:bookmarkEnd w:id="118"/>
    <w:bookmarkStart w:id="128" w:name="crossfitted-selective-recovery"/>
    <w:p>
      <w:pPr>
        <w:pStyle w:val="Heading4"/>
      </w:pPr>
      <w:r>
        <w:t xml:space="preserve">3.6</w:t>
      </w:r>
      <w:r>
        <w:t xml:space="preserve"> </w:t>
      </w:r>
      <w:r>
        <w:t xml:space="preserve"> </w:t>
      </w:r>
      <w:bookmarkStart w:id="119" w:name="x1-130003.6"/>
      <w:bookmarkEnd w:id="119"/>
      <w:r>
        <w:t xml:space="preserve">Cross-fitted selective recovery</w:t>
      </w:r>
    </w:p>
    <w:p>
      <w:pPr>
        <w:pStyle w:val="FirstParagraph"/>
      </w:pPr>
      <w:r>
        <w:t xml:space="preserve">Unconditional recovery can repair a wrong base prediction but can also overturn a correct one. We</w:t>
      </w:r>
      <w:r>
        <w:t xml:space="preserve"> </w:t>
      </w:r>
      <w:r>
        <w:t xml:space="preserve">therefore treat routing as hard-decision risk control. Here “Lite” means that the router selects between</w:t>
      </w:r>
      <w:r>
        <w:t xml:space="preserve"> </w:t>
      </w:r>
      <w:r>
        <w:t xml:space="preserve">PDRF and the RO-PDRF-Lite recovery endpoint; it does not merely denote a smaller selector. Both</w:t>
      </w:r>
      <w:r>
        <w:t xml:space="preserve"> </w:t>
      </w:r>
      <w:r>
        <w:t xml:space="preserve">endpoints require one ordinary forward pass and have the same 19,740-parameter architecture. The</w:t>
      </w:r>
      <w:r>
        <w:t xml:space="preserve"> </w:t>
      </w:r>
      <w:r>
        <w:t xml:space="preserve">heavier PDRF/RO-PDRF-Full pair is retained only as a supplementary mechanistic and legacy-routing</w:t>
      </w:r>
      <w:r>
        <w:t xml:space="preserve"> </w:t>
      </w:r>
      <w:r>
        <w:t xml:space="preserve">sensitivity.</w:t>
      </w:r>
    </w:p>
    <w:p>
      <w:pPr>
        <w:pStyle w:val="BodyText"/>
      </w:pPr>
      <w:r>
        <w:t xml:space="preserve">Batch 7 is divided chronologically into two disjoint halves. The first half fits one scalar temperature</w:t>
      </w:r>
      <w:r>
        <w:t xml:space="preserve"> </w:t>
      </w:r>
      <w:r>
        <w:t xml:space="preserve">per endpoint by minimizing multiclass negative log-likelihood. The second contains two calibration-only</w:t>
      </w:r>
      <w:r>
        <w:t xml:space="preserve"> </w:t>
      </w:r>
      <w:r>
        <w:t xml:space="preserve">realizations of each fault mechanism; only interventions that reach an available affected group enter</w:t>
      </w:r>
      <w:r>
        <w:t xml:space="preserve"> </w:t>
      </w:r>
      <w:r>
        <w:t xml:space="preserve">selector development. Routing features use the temperature-scaled endpoint probabilities. The selected</w:t>
      </w:r>
      <w:r>
        <w:t xml:space="preserve"> </w:t>
      </w:r>
      <w:r>
        <w:t xml:space="preserve">endpoint vector is emitted without probability mixing. Uncalibrated endpoint features, Platt scaling and</w:t>
      </w:r>
      <w:r>
        <w:t xml:space="preserve"> </w:t>
      </w:r>
      <w:r>
        <w:t xml:space="preserve">isotonic calibration of the preference score are separate controls rather than replacements selected from</w:t>
      </w:r>
      <w:r>
        <w:t xml:space="preserve"> </w:t>
      </w:r>
      <w:r>
        <w:t xml:space="preserve">test performance.</w:t>
      </w:r>
    </w:p>
    <w:p>
      <w:pPr>
        <w:pStyle w:val="BodyText"/>
      </w:pPr>
      <w:r>
        <w:t xml:space="preserve">Lite-CF uses six prespecified inputs: base confidence, recovery confidence, their difference, base</w:t>
      </w:r>
      <w:r>
        <w:t xml:space="preserve"> </w:t>
      </w:r>
      <w:r>
        <w:t xml:space="preserve">normalized entropy, recovery normalized entropy and their difference. It receives neither the class label nor</w:t>
      </w:r>
      <w:r>
        <w:t xml:space="preserve"> </w:t>
      </w:r>
      <w:r>
        <w:t xml:space="preserve">fault type at inference. Let</w:t>
      </w:r>
      <w:r>
        <w:t xml:space="preserve"> </w:t>
      </w:r>
      <w:r>
        <w:t xml:space="preserve">z</w:t>
      </w:r>
      <w:r>
        <w:rPr>
          <w:vertAlign w:val="subscript"/>
        </w:rPr>
        <w:t xml:space="preserve">ij</w:t>
      </w:r>
      <w:r>
        <w:t xml:space="preserve"> </w:t>
      </w:r>
      <w:r>
        <w:t xml:space="preserve">denote standardized feature</w:t>
      </w:r>
      <w:r>
        <w:t xml:space="preserve"> </w:t>
      </w:r>
      <w:r>
        <w:t xml:space="preserve">j</w:t>
      </w:r>
      <w:r>
        <w:t xml:space="preserve">. Feature means and standard deviations are</w:t>
      </w:r>
      <w:r>
        <w:t xml:space="preserve"> </w:t>
      </w:r>
      <w:r>
        <w:t xml:space="preserve">fitted only on the informative training rows inside each cross-fitting fold, then refitted on all informative</w:t>
      </w:r>
      <w:r>
        <w:t xml:space="preserve"> </w:t>
      </w:r>
      <w:r>
        <w:t xml:space="preserve">calibration rows for the final model. An</w:t>
      </w:r>
      <w:r>
        <w:t xml:space="preserve"> </w:t>
      </w:r>
      <w:r>
        <w:t xml:space="preserve">L</w:t>
      </w:r>
      <w:r>
        <w:rPr>
          <w:vertAlign w:val="subscript"/>
        </w:rPr>
        <w:t xml:space="preserve">2</w:t>
      </w:r>
      <w:r>
        <w:t xml:space="preserve">-regularized logistic model produces the</w:t>
      </w:r>
      <w:r>
        <w:t xml:space="preserve"> </w:t>
      </w:r>
      <w:r>
        <w:t xml:space="preserve">conditional preference</w:t>
      </w:r>
      <w:r>
        <w:t xml:space="preserve"> </w:t>
      </w:r>
      <w:r>
        <w:t xml:space="preserve">score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238375" cy="742950"/>
                  <wp:effectExtent b="0" l="0" r="0" t="0"/>
                  <wp:docPr descr=" ( ) ∑ 6 πi = σ( γ0 + γjzij) , j=1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anuscript_cee20x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23" w:name="x1-13001r19"/>
            <w:bookmarkEnd w:id="123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(19)</w:t>
            </w:r>
          </w:p>
        </w:tc>
      </w:tr>
    </w:tbl>
    <w:p>
      <w:pPr>
        <w:pStyle w:val="BodyText"/>
      </w:pPr>
      <w:r>
        <w:t xml:space="preserve">using calibration rows on which PDRF and RO-PDRF-Lite differ in correctness. The target equals one</w:t>
      </w:r>
      <w:r>
        <w:t xml:space="preserve"> </w:t>
      </w:r>
      <w:r>
        <w:t xml:space="preserve">when recovery is correct and the base endpoint is wrong. Therefore</w:t>
      </w:r>
      <w:r>
        <w:t xml:space="preserve"> </w:t>
      </w:r>
      <w:r>
        <w:t xml:space="preserve">π</w:t>
      </w:r>
      <w:r>
        <w:rPr>
          <w:vertAlign w:val="subscript"/>
        </w:rPr>
        <w:t xml:space="preserve">i</w:t>
      </w:r>
      <w:r>
        <w:t xml:space="preserve"> </w:t>
      </w:r>
      <w:r>
        <w:t xml:space="preserve">estimates a conditional</w:t>
      </w:r>
      <w:r>
        <w:t xml:space="preserve"> </w:t>
      </w:r>
      <w:r>
        <w:t xml:space="preserve">preference on the label-selected subset</w:t>
      </w:r>
      <w:r>
        <w:t xml:space="preserve"> </w:t>
      </w:r>
      <w:r>
        <w:t xml:space="preserve">b</w:t>
      </w:r>
      <w:r>
        <w:rPr>
          <w:vertAlign w:val="subscript"/>
        </w:rPr>
        <w:t xml:space="preserve">i</w:t>
      </w:r>
      <w:r>
        <w:t xml:space="preserve">≠r</w:t>
      </w:r>
      <w:r>
        <w:rPr>
          <w:vertAlign w:val="subscript"/>
        </w:rPr>
        <w:t xml:space="preserve">i</w:t>
      </w:r>
      <w:r>
        <w:t xml:space="preserve">; it does not estimate Pr(</w:t>
      </w:r>
      <w:r>
        <w:t xml:space="preserve">r</w:t>
      </w:r>
      <w:r>
        <w:rPr>
          <w:vertAlign w:val="subscript"/>
        </w:rPr>
        <w:t xml:space="preserve">i</w:t>
      </w:r>
      <w:r>
        <w:t xml:space="preserve"> </w:t>
      </w:r>
      <w:r>
        <w:t xml:space="preserve">= 1</w:t>
      </w:r>
      <w:r>
        <w:t xml:space="preserve">,b</w:t>
      </w:r>
      <w:r>
        <w:rPr>
          <w:vertAlign w:val="subscript"/>
        </w:rPr>
        <w:t xml:space="preserve">i</w:t>
      </w:r>
      <w:r>
        <w:t xml:space="preserve"> </w:t>
      </w:r>
      <w:r>
        <w:t xml:space="preserve">= 0</w:t>
      </w:r>
      <w:r>
        <w:t xml:space="preserve">∣</w:t>
      </w:r>
      <w:r>
        <w:t xml:space="preserve">x</w:t>
      </w:r>
      <w:r>
        <w:rPr>
          <w:vertAlign w:val="subscript"/>
        </w:rPr>
        <w:t xml:space="preserve">i</w:t>
      </w:r>
      <w:r>
        <w:t xml:space="preserve">) or</w:t>
      </w:r>
      <w:r>
        <w:t xml:space="preserve"> </w:t>
      </w:r>
      <w:r>
        <w:t xml:space="preserve">a general reliability probability for all deployment rows. Lite-CF uses</w:t>
      </w:r>
      <w:r>
        <w:t xml:space="preserve"> </w:t>
      </w:r>
      <w:r>
        <w:t xml:space="preserve">C</w:t>
      </w:r>
      <w:r>
        <w:t xml:space="preserve"> </w:t>
      </w:r>
      <w:r>
        <w:t xml:space="preserve">= 0</w:t>
      </w:r>
      <w:r>
        <w:t xml:space="preserve">.</w:t>
      </w:r>
      <w:r>
        <w:t xml:space="preserve">05, the</w:t>
      </w:r>
      <w:r>
        <w:t xml:space="preserve"> </w:t>
      </w:r>
      <w:r>
        <w:t xml:space="preserve">lbfgs</w:t>
      </w:r>
      <w:r>
        <w:t xml:space="preserve"> </w:t>
      </w:r>
      <w:r>
        <w:t xml:space="preserve">solver, balanced class weights, tolerance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, 2,000 maximum iterations and random state 0.</w:t>
      </w:r>
      <w:r>
        <w:t xml:space="preserve"> </w:t>
      </w:r>
      <w:r>
        <w:t xml:space="preserve">We retain this model as the frozen historical router and explicitly compare it with all-row</w:t>
      </w:r>
      <w:r>
        <w:t xml:space="preserve"> </w:t>
      </w:r>
      <w:r>
        <w:t xml:space="preserve">alternatives.</w:t>
      </w:r>
    </w:p>
    <w:p>
      <w:pPr>
        <w:pStyle w:val="BodyText"/>
      </w:pPr>
      <w:r>
        <w:t xml:space="preserve">Coefficient fitting is separated from threshold selection by five-fold stratified group cross-fitting.</w:t>
      </w:r>
      <w:r>
        <w:t xml:space="preserve"> </w:t>
      </w:r>
      <w:r>
        <w:t xml:space="preserve">Realizations and mechanisms from the same calibration observation remain in one fold. Candidate</w:t>
      </w:r>
      <w:r>
        <w:t xml:space="preserve"> </w:t>
      </w:r>
      <w:r>
        <w:t xml:space="preserve">thresholds 0</w:t>
      </w:r>
      <w:r>
        <w:t xml:space="preserve">.</w:t>
      </w:r>
      <w:r>
        <w:t xml:space="preserve">50</w:t>
      </w:r>
      <w:r>
        <w:t xml:space="preserve">,</w:t>
      </w:r>
      <w:r>
        <w:t xml:space="preserve">0</w:t>
      </w:r>
      <w:r>
        <w:t xml:space="preserve">.</w:t>
      </w:r>
      <w:r>
        <w:t xml:space="preserve">525</w:t>
      </w:r>
      <w:r>
        <w:t xml:space="preserve">,…,</w:t>
      </w:r>
      <w:r>
        <w:t xml:space="preserve">0</w:t>
      </w:r>
      <w:r>
        <w:t xml:space="preserve">.</w:t>
      </w:r>
      <w:r>
        <w:t xml:space="preserve">90 are evaluated only on pooled out-of-fold scores. Selection minimizes realized</w:t>
      </w:r>
      <w:r>
        <w:t xml:space="preserve"> </w:t>
      </w:r>
      <w:r>
        <w:t xml:space="preserve">harms, then maximizes selected accuracy and retained corrections; remaining ties use the highest</w:t>
      </w:r>
      <w:r>
        <w:t xml:space="preserve"> </w:t>
      </w:r>
      <w:r>
        <w:t xml:space="preserve">threshold. The formal fits had a mean of 1.5 tied thresholds (range 1–4). Final coefficients are refitted on</w:t>
      </w:r>
      <w:r>
        <w:t xml:space="preserve"> </w:t>
      </w:r>
      <w:r>
        <w:t xml:space="preserve">all informative rows while the threshold remains frozen.</w:t>
      </w:r>
    </w:p>
    <w:p>
      <w:pPr>
        <w:pStyle w:val="BodyText"/>
      </w:pPr>
      <w:r>
        <w:t xml:space="preserve">For prospective deployment, mathematical fit is necessary but insufficient. We define an operational</w:t>
      </w:r>
      <w:r>
        <w:t xml:space="preserve"> </w:t>
      </w:r>
      <w:r>
        <w:t xml:space="preserve">support gate requiring at least 25 events in each preference class, median out-of-fold AUROC at least 0.65</w:t>
      </w:r>
      <w:r>
        <w:t xml:space="preserve"> </w:t>
      </w:r>
      <w:r>
        <w:t xml:space="preserve">across 10 repeated grouped splits, no repeated AUROC below 0.60 and a threshold range no</w:t>
      </w:r>
      <w:r>
        <w:t xml:space="preserve"> </w:t>
      </w:r>
      <w:r>
        <w:t xml:space="preserve">wider than 0.10. Both preference classes must also occur in every fitting fold. The gate was</w:t>
      </w:r>
      <w:r>
        <w:t xml:space="preserve"> </w:t>
      </w:r>
      <w:r>
        <w:t xml:space="preserve">specified after the frozen experiment, so the 94.7%/9.7% estimate remains labelled ungated.</w:t>
      </w:r>
      <w:r>
        <w:t xml:space="preserve"> </w:t>
      </w:r>
      <w:r>
        <w:t xml:space="preserve">Nevertheless, the gate-enforced policy is the primary deployment interpretation: a site that fails any</w:t>
      </w:r>
      <w:r>
        <w:t xml:space="preserve"> </w:t>
      </w:r>
      <w:r>
        <w:t xml:space="preserve">condition must emit PDRF while collecting new calibration evidence. The released routing API</w:t>
      </w:r>
      <w:r>
        <w:t xml:space="preserve"> </w:t>
      </w:r>
      <w:r>
        <w:t xml:space="preserve">returns probabilities by default and can optionally return selected endpoint identity and the</w:t>
      </w:r>
      <w:r>
        <w:t xml:space="preserve"> </w:t>
      </w:r>
      <w:r>
        <w:t xml:space="preserve">conditional preference score; routed confidence remains endpoint-specific rather than globally</w:t>
      </w:r>
      <w:r>
        <w:t xml:space="preserve"> </w:t>
      </w:r>
      <w:r>
        <w:t xml:space="preserve">calibrated.</w:t>
      </w:r>
    </w:p>
    <w:p>
      <w:pPr>
        <w:pStyle w:val="BodyText"/>
      </w:pPr>
      <w:r>
        <w:t xml:space="preserve">We address the selected-sample problem with an all-row outcome</w:t>
      </w:r>
      <w:r>
        <w:t xml:space="preserve"> </w:t>
      </w:r>
      <w:r>
        <w:t xml:space="preserve">o</w:t>
      </w:r>
      <w:r>
        <w:rPr>
          <w:vertAlign w:val="subscript"/>
        </w:rPr>
        <w:t xml:space="preserve">i</w:t>
      </w:r>
      <w:r>
        <w:t xml:space="preserve"> </w:t>
      </w:r>
      <w:r>
        <w:t xml:space="preserve">∈{</w:t>
      </w:r>
      <w:r>
        <w:t xml:space="preserve">0</w:t>
      </w:r>
      <w:r>
        <w:t xml:space="preserve">,</w:t>
      </w:r>
      <w:r>
        <w:t xml:space="preserve">1</w:t>
      </w:r>
      <w:r>
        <w:t xml:space="preserve">,</w:t>
      </w:r>
      <w:r>
        <w:t xml:space="preserve">2</w:t>
      </w:r>
      <w:r>
        <w:t xml:space="preserve">}</w:t>
      </w:r>
      <w:r>
        <w:t xml:space="preserve"> </w:t>
      </w:r>
      <w:r>
        <w:t xml:space="preserve">denoting base better,</w:t>
      </w:r>
      <w:r>
        <w:t xml:space="preserve"> </w:t>
      </w:r>
      <w:r>
        <w:t xml:space="preserve">equivalent hard-decision correctness or recovery better. A multinomial logistic model produces</w:t>
      </w:r>
      <w:r>
        <w:t xml:space="preserve"> </w:t>
      </w:r>
      <w:r>
        <w:t xml:space="preserve">probabilities</w:t>
      </w:r>
      <w:r>
        <w:t xml:space="preserve"> </w:t>
      </w:r>
      <w:r>
        <w:t xml:space="preserve">η</w:t>
      </w:r>
      <w:r>
        <w:rPr>
          <w:vertAlign w:val="subscript"/>
        </w:rPr>
        <w:t xml:space="preserve">ik</w:t>
      </w:r>
      <w:r>
        <w:t xml:space="preserve"> </w:t>
      </w:r>
      <w:r>
        <w:t xml:space="preserve">= Pr(</w:t>
      </w:r>
      <w:r>
        <w:t xml:space="preserve">o</w:t>
      </w:r>
      <w:r>
        <w:rPr>
          <w:vertAlign w:val="subscript"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k</w:t>
      </w:r>
      <w:r>
        <w:t xml:space="preserve">∣</w:t>
      </w:r>
      <w:r>
        <w:t xml:space="preserve">x</w:t>
      </w:r>
      <w:r>
        <w:rPr>
          <w:vertAlign w:val="subscript"/>
        </w:rPr>
        <w:t xml:space="preserve">i</w:t>
      </w:r>
      <w:r>
        <w:t xml:space="preserve">) and score</w:t>
      </w:r>
      <w:r>
        <w:t xml:space="preserve"> </w:t>
      </w:r>
      <w:r>
        <w:t xml:space="preserve">d</w:t>
      </w:r>
      <w:r>
        <w:rPr>
          <w:vertAlign w:val="subscript"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η</w:t>
      </w:r>
      <w:r>
        <w:rPr>
          <w:vertAlign w:val="subscript"/>
        </w:rPr>
        <w:t xml:space="preserve">i</w:t>
      </w:r>
      <w:r>
        <w:rPr>
          <w:vertAlign w:val="subscript"/>
        </w:rPr>
        <w:t xml:space="preserve">2</w:t>
      </w:r>
      <w:r>
        <w:t xml:space="preserve"> </w:t>
      </w:r>
      <w:r>
        <w:t xml:space="preserve">−</w:t>
      </w:r>
      <w:r>
        <w:t xml:space="preserve">η</w:t>
      </w:r>
      <w:r>
        <w:rPr>
          <w:vertAlign w:val="subscript"/>
        </w:rPr>
        <w:t xml:space="preserve">i</w:t>
      </w:r>
      <w:r>
        <w:rPr>
          <w:vertAlign w:val="subscript"/>
        </w:rPr>
        <w:t xml:space="preserve">0</w:t>
      </w:r>
      <w:r>
        <w:t xml:space="preserve">. A two-stage alternative first estimates</w:t>
      </w:r>
      <w:r>
        <w:t xml:space="preserve"> </w:t>
      </w:r>
      <w:r>
        <w:t xml:space="preserve">Pr(</w:t>
      </w:r>
      <w:r>
        <w:t xml:space="preserve">b</w:t>
      </w:r>
      <w:r>
        <w:rPr>
          <w:vertAlign w:val="subscript"/>
        </w:rPr>
        <w:t xml:space="preserve">i</w:t>
      </w:r>
      <w:r>
        <w:t xml:space="preserve">≠r</w:t>
      </w:r>
      <w:r>
        <w:rPr>
          <w:vertAlign w:val="subscript"/>
        </w:rPr>
        <w:t xml:space="preserve">i</w:t>
      </w:r>
      <w:r>
        <w:t xml:space="preserve">∣</w:t>
      </w:r>
      <w:r>
        <w:t xml:space="preserve">x</w:t>
      </w:r>
      <w:r>
        <w:rPr>
          <w:vertAlign w:val="subscript"/>
        </w:rPr>
        <w:t xml:space="preserve">i</w:t>
      </w:r>
      <w:r>
        <w:t xml:space="preserve">) on all rows and then multiplies it by the conditional base/recovery preference. Both stages are</w:t>
      </w:r>
      <w:r>
        <w:t xml:space="preserve"> </w:t>
      </w:r>
      <w:r>
        <w:t xml:space="preserve">cross-fitted by original observation. These models target the unconditional decision problem</w:t>
      </w:r>
      <w:r>
        <w:t xml:space="preserve"> </w:t>
      </w:r>
      <w:r>
        <w:t xml:space="preserve">without inverse-probability correction because all calibration rows and their three outcomes are</w:t>
      </w:r>
      <w:r>
        <w:t xml:space="preserve"> </w:t>
      </w:r>
      <w:r>
        <w:t xml:space="preserve">observed.</w:t>
      </w:r>
    </w:p>
    <w:p>
      <w:pPr>
        <w:pStyle w:val="BodyText"/>
      </w:pPr>
      <w:r>
        <w:t xml:space="preserve">Controls use the same two endpoint passes and calibration budget. They include random ranking, low</w:t>
      </w:r>
      <w:r>
        <w:t xml:space="preserve"> </w:t>
      </w:r>
      <w:r>
        <w:t xml:space="preserve">base confidence, recovery-minus-base confidence, base-minus-recovery entropy, recovery-minus-base</w:t>
      </w:r>
      <w:r>
        <w:t xml:space="preserve"> </w:t>
      </w:r>
      <w:r>
        <w:t xml:space="preserve">top-two logit margin, a depth-two tree with minimum leaf size 35, rank-normalized logistic features and</w:t>
      </w:r>
      <w:r>
        <w:t xml:space="preserve"> </w:t>
      </w:r>
      <w:r>
        <w:t xml:space="preserve">class-conditional endpoint-prediction indicators. Complete operating curves rank rows within each fixed</w:t>
      </w:r>
      <w:r>
        <w:t xml:space="preserve"> </w:t>
      </w:r>
      <w:r>
        <w:t xml:space="preserve">mechanism–fitted-pair cell. Curves are descriptive test audits; no point on a test curve selects the</w:t>
      </w:r>
      <w:r>
        <w:t xml:space="preserve"> </w:t>
      </w:r>
      <w:r>
        <w:t xml:space="preserve">submitted operating policy. For matched controls, thresholds are selected only on calibration to match the</w:t>
      </w:r>
      <w:r>
        <w:t xml:space="preserve"> </w:t>
      </w:r>
      <w:r>
        <w:t xml:space="preserve">frozen router’s calibration prevention or retention and are then applied unchanged to test</w:t>
      </w:r>
      <w:r>
        <w:t xml:space="preserve"> </w:t>
      </w:r>
      <w:r>
        <w:t xml:space="preserve">rows.</w:t>
      </w:r>
    </w:p>
    <w:p>
      <w:pPr>
        <w:pStyle w:val="BodyText"/>
      </w:pPr>
      <w:r>
        <w:t xml:space="preserve">We further probe sparse estimation through ten repeated grouped splits for each endpoint pair,</w:t>
      </w:r>
      <w:r>
        <w:t xml:space="preserve"> </w:t>
      </w:r>
      <w:r>
        <w:t xml:space="preserve">standardized coefficient/sign distributions,</w:t>
      </w:r>
      <w:r>
        <w:t xml:space="preserve"> </w:t>
      </w:r>
      <w:r>
        <w:t xml:space="preserve">C</w:t>
      </w:r>
      <w:r>
        <w:t xml:space="preserve"> </w:t>
      </w:r>
      <w:r>
        <w:t xml:space="preserve">∈{</w:t>
      </w:r>
      <w:r>
        <w:t xml:space="preserve">0</w:t>
      </w:r>
      <w:r>
        <w:t xml:space="preserve">.</w:t>
      </w:r>
      <w:r>
        <w:t xml:space="preserve">01</w:t>
      </w:r>
      <w:r>
        <w:t xml:space="preserve">,</w:t>
      </w:r>
      <w:r>
        <w:t xml:space="preserve">0</w:t>
      </w:r>
      <w:r>
        <w:t xml:space="preserve">.</w:t>
      </w:r>
      <w:r>
        <w:t xml:space="preserve">05</w:t>
      </w:r>
      <w:r>
        <w:t xml:space="preserve">,</w:t>
      </w:r>
      <w:r>
        <w:t xml:space="preserve">0</w:t>
      </w:r>
      <w:r>
        <w:t xml:space="preserve">.</w:t>
      </w:r>
      <w:r>
        <w:t xml:space="preserve">1</w:t>
      </w:r>
      <w:r>
        <w:t xml:space="preserve">,</w:t>
      </w:r>
      <w:r>
        <w:t xml:space="preserve">0</w:t>
      </w:r>
      <w:r>
        <w:t xml:space="preserve">.</w:t>
      </w:r>
      <w:r>
        <w:t xml:space="preserve">5</w:t>
      </w:r>
      <w:r>
        <w:t xml:space="preserve">,</w:t>
      </w:r>
      <w:r>
        <w:t xml:space="preserve">1</w:t>
      </w:r>
      <w:r>
        <w:t xml:space="preserve">,</w:t>
      </w:r>
      <w:r>
        <w:t xml:space="preserve">5</w:t>
      </w:r>
      <w:r>
        <w:t xml:space="preserve">}</w:t>
      </w:r>
      <w:r>
        <w:t xml:space="preserve">, calibration-size subsampling and</w:t>
      </w:r>
      <w:r>
        <w:t xml:space="preserve"> </w:t>
      </w:r>
      <w:r>
        <w:t xml:space="preserve">five calibration-family mixtures (uniform and one 70%-dominant mechanism). Leave-one-mechanism-out</w:t>
      </w:r>
      <w:r>
        <w:t xml:space="preserve"> </w:t>
      </w:r>
      <w:r>
        <w:t xml:space="preserve">and Gaussian-only calibration test mechanism transport. Severity transport fits selectors at scales 1, 2 or 3</w:t>
      </w:r>
      <w:r>
        <w:t xml:space="preserve"> </w:t>
      </w:r>
      <w:r>
        <w:t xml:space="preserve">and evaluates every scale without endpoint refitting; affected-group transport calibrates on group 1 and</w:t>
      </w:r>
      <w:r>
        <w:t xml:space="preserve"> </w:t>
      </w:r>
      <w:r>
        <w:t xml:space="preserve">evaluates groups 1–4 at scale 3.</w:t>
      </w:r>
    </w:p>
    <w:p>
      <w:pPr>
        <w:pStyle w:val="BodyText"/>
      </w:pPr>
      <w:r>
        <w:t xml:space="preserve">The deployment audit reuses the same endpoints, temperatures, selector and test realization for every</w:t>
      </w:r>
      <w:r>
        <w:t xml:space="preserve"> </w:t>
      </w:r>
      <w:r>
        <w:t xml:space="preserve">stream. It includes the strict fault-applied-and-available subset, a complete 40%-prevalence mixed stream</w:t>
      </w:r>
      <w:r>
        <w:t xml:space="preserve"> </w:t>
      </w:r>
      <w:r>
        <w:t xml:space="preserve">and a no-imposed-fault stream with the same fixed 20% group-missingness process. Probability quality is</w:t>
      </w:r>
      <w:r>
        <w:t xml:space="preserve"> </w:t>
      </w:r>
      <w:r>
        <w:t xml:space="preserve">reported separately for endpoint-class agreement and disagreement. The primary outcomes are</w:t>
      </w:r>
      <w:r>
        <w:t xml:space="preserve"> </w:t>
      </w:r>
      <w:r>
        <w:t xml:space="preserve">negative-transfer prevention, recovery retention and</w:t>
      </w:r>
    </w:p>
    <w:tbl>
      <w:tblPr>
        <w:tblStyle w:val="Table"/>
        <w:tblW w:type="pct" w:w="5000"/>
        <w:tblLayout w:type="autofit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886075" cy="219075"/>
                  <wp:effectExtent b="0" l="0" r="0" t="0"/>
                  <wp:docPr descr="U = VC nC − CH nH − λ(P − 1),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anuscript_cee21x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27" w:name="x1-13002r20"/>
            <w:bookmarkEnd w:id="127"/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(20)</w:t>
            </w:r>
          </w:p>
        </w:tc>
      </w:tr>
    </w:tbl>
    <w:p>
      <w:pPr>
        <w:pStyle w:val="BodyText"/>
      </w:pPr>
      <w:r>
        <w:t xml:space="preserve">where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are retained corrections and realized harms per 10,000 observations,</w:t>
      </w:r>
      <w:r>
        <w:t xml:space="preserve"> </w:t>
      </w:r>
      <w:r>
        <w:t xml:space="preserve">V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is correction</w:t>
      </w:r>
      <w:r>
        <w:t xml:space="preserve"> </w:t>
      </w:r>
      <w:r>
        <w:t xml:space="preserve">value,</w:t>
      </w:r>
      <w:r>
        <w:t xml:space="preserve"> </w:t>
      </w:r>
      <w:r>
        <w:t xml:space="preserve">C</w:t>
      </w:r>
      <w:r>
        <w:rPr>
          <w:vertAlign w:val="subscript"/>
        </w:rPr>
        <w:t xml:space="preserve">H</w:t>
      </w:r>
      <w:r>
        <w:t xml:space="preserve"> </w:t>
      </w:r>
      <w:r>
        <w:t xml:space="preserve">is harm cost,</w:t>
      </w:r>
      <w:r>
        <w:t xml:space="preserve"> </w:t>
      </w:r>
      <w:r>
        <w:t xml:space="preserve">P</w:t>
      </w:r>
      <w:r>
        <w:t xml:space="preserve"> </w:t>
      </w:r>
      <w:r>
        <w:t xml:space="preserve">is mean forward-pass count and</w:t>
      </w:r>
      <w:r>
        <w:t xml:space="preserve"> </w:t>
      </w:r>
      <w:r>
        <w:t xml:space="preserve">λ</w:t>
      </w:r>
      <w:r>
        <w:t xml:space="preserve"> </w:t>
      </w:r>
      <w:r>
        <w:t xml:space="preserve">is a pass-cost proxy in correction-equivalents</w:t>
      </w:r>
      <w:r>
        <w:t xml:space="preserve"> </w:t>
      </w:r>
      <w:r>
        <w:t xml:space="preserve">per 10,000 observations. We vary</w:t>
      </w:r>
      <w:r>
        <w:t xml:space="preserve"> </w:t>
      </w:r>
      <w:r>
        <w:t xml:space="preserve">C</w:t>
      </w:r>
      <w:r>
        <w:rPr>
          <w:vertAlign w:val="subscript"/>
        </w:rPr>
        <w:t xml:space="preserve">H</w:t>
      </w:r>
      <w:r>
        <w:t xml:space="preserve">∕V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over 1, 2, 5 and 10, imposed-fault prevalence and</w:t>
      </w:r>
      <w:r>
        <w:t xml:space="preserve"> </w:t>
      </w:r>
      <w:r>
        <w:t xml:space="preserve">λ</w:t>
      </w:r>
      <w:r>
        <w:t xml:space="preserve">. Energy</w:t>
      </w:r>
      <w:r>
        <w:t xml:space="preserve"> </w:t>
      </w:r>
      <w:r>
        <w:t xml:space="preserve">was not measured; forward passes and counted linear-layer FLOPs remain computational</w:t>
      </w:r>
      <w:r>
        <w:t xml:space="preserve"> </w:t>
      </w:r>
      <w:r>
        <w:t xml:space="preserve">proxies.</w:t>
      </w:r>
    </w:p>
    <w:p>
      <w:pPr>
        <w:pStyle w:val="BodyText"/>
      </w:pPr>
      <w:r>
        <w:t xml:space="preserve">Two threshold regimes are kept distinct. The safety threshold uses the frozen lexicographic rule:</w:t>
      </w:r>
      <w:r>
        <w:t xml:space="preserve"> </w:t>
      </w:r>
      <w:r>
        <w:t xml:space="preserve">minimize calibration harms, then maximize selected accuracy and retained corrections. The application</w:t>
      </w:r>
      <w:r>
        <w:t xml:space="preserve"> </w:t>
      </w:r>
      <w:r>
        <w:t xml:space="preserve">threshold maximizes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t xml:space="preserve">(</w:t>
      </w:r>
      <w:r>
        <w:t xml:space="preserve">C</w:t>
      </w:r>
      <w:r>
        <w:rPr>
          <w:vertAlign w:val="subscript"/>
        </w:rPr>
        <w:t xml:space="preserve">H</w:t>
      </w:r>
      <w:r>
        <w:t xml:space="preserve">∕V</w:t>
      </w:r>
      <w:r>
        <w:t xml:space="preserve"> </w:t>
      </w:r>
      <w:r>
        <w:rPr>
          <w:vertAlign w:val="subscript"/>
        </w:rPr>
        <w:t xml:space="preserve">C</w:t>
      </w:r>
      <w:r>
        <w:t xml:space="preserve">)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on pooled out-of-fold calibration predictions for each declared cost</w:t>
      </w:r>
      <w:r>
        <w:t xml:space="preserve"> </w:t>
      </w:r>
      <w:r>
        <w:t xml:space="preserve">ratio. Both are evaluated once on test. Always-base and always-recovery remain explicit endpoints.</w:t>
      </w:r>
      <w:r>
        <w:t xml:space="preserve"> </w:t>
      </w:r>
      <w:r>
        <w:t xml:space="preserve">Reporting includes extra forward passes per retained and net correction, selected observations per net</w:t>
      </w:r>
      <w:r>
        <w:t xml:space="preserve"> </w:t>
      </w:r>
      <w:r>
        <w:t xml:space="preserve">correction, model storage, router latency and orchestration residual beyond the sum of endpoint</w:t>
      </w:r>
      <w:r>
        <w:t xml:space="preserve"> </w:t>
      </w:r>
      <w:r>
        <w:t xml:space="preserve">timings.</w:t>
      </w:r>
    </w:p>
    <w:bookmarkEnd w:id="128"/>
    <w:bookmarkStart w:id="132" w:name="chemicalsensor-dataset-and-fixed-faults"/>
    <w:p>
      <w:pPr>
        <w:pStyle w:val="Heading4"/>
      </w:pPr>
      <w:r>
        <w:t xml:space="preserve">3.7</w:t>
      </w:r>
      <w:r>
        <w:t xml:space="preserve"> </w:t>
      </w:r>
      <w:r>
        <w:t xml:space="preserve"> </w:t>
      </w:r>
      <w:bookmarkStart w:id="129" w:name="x1-140003.7"/>
      <w:bookmarkEnd w:id="129"/>
      <w:r>
        <w:t xml:space="preserve">Chemical-sensor dataset and fixed faults</w:t>
      </w:r>
    </w:p>
    <w:p>
      <w:pPr>
        <w:pStyle w:val="FirstParagraph"/>
      </w:pPr>
      <w:r>
        <w:t xml:space="preserve">The UCI Gas Sensor Array Drift Dataset contains 13,910 observations from 16 metal-oxide sensors, six</w:t>
      </w:r>
      <w:r>
        <w:t xml:space="preserve"> </w:t>
      </w:r>
      <w:r>
        <w:t xml:space="preserve">gas classes and 10 acquisition batches over 36 months [</w:t>
      </w:r>
      <w:hyperlink w:anchor="Xvergara2012dataset">
        <w:r>
          <w:rPr>
            <w:rStyle w:val="Hyperlink"/>
          </w:rPr>
          <w:t xml:space="preserve">60</w:t>
        </w:r>
      </w:hyperlink>
      <w:r>
        <w:t xml:space="preserve">, </w:t>
      </w:r>
      <w:hyperlink w:anchor="Xvergara2012drift">
        <w:r>
          <w:rPr>
            <w:rStyle w:val="Hyperlink"/>
          </w:rPr>
          <w:t xml:space="preserve">61</w:t>
        </w:r>
      </w:hyperlink>
      <w:r>
        <w:t xml:space="preserve">]. Each sensor contributes eight extracted</w:t>
      </w:r>
      <w:r>
        <w:t xml:space="preserve"> </w:t>
      </w:r>
      <w:r>
        <w:t xml:space="preserve">response features. The principal grouping uses four consecutive sensors per group. All models receive the</w:t>
      </w:r>
      <w:r>
        <w:t xml:space="preserve"> </w:t>
      </w:r>
      <w:r>
        <w:t xml:space="preserve">same grouping. Sensitivity analyses additionally use interleaved and five fixed random partitions; no</w:t>
      </w:r>
      <w:r>
        <w:t xml:space="preserve"> </w:t>
      </w:r>
      <w:r>
        <w:t xml:space="preserve">partition is called a physical modality.</w:t>
      </w:r>
    </w:p>
    <w:p>
      <w:pPr>
        <w:pStyle w:val="BodyText"/>
      </w:pPr>
      <w:r>
        <w:t xml:space="preserve">Batches 1–6 train the models. Their feature means and standard deviations are the only quantities</w:t>
      </w:r>
      <w:r>
        <w:t xml:space="preserve"> </w:t>
      </w:r>
      <w:r>
        <w:t xml:space="preserve">used for standardization. The same transform is applied to batches 7–10, after which each feature is</w:t>
      </w:r>
      <w:r>
        <w:t xml:space="preserve"> </w:t>
      </w:r>
      <w:r>
        <w:t xml:space="preserve">clipped to [</w:t>
      </w:r>
      <w:r>
        <w:t xml:space="preserve">−</w:t>
      </w:r>
      <w:r>
        <w:t xml:space="preserve">8</w:t>
      </w:r>
      <w:r>
        <w:t xml:space="preserve">,</w:t>
      </w:r>
      <w:r>
        <w:t xml:space="preserve">8] before sensor grouping. Thus every reported “training range” is the empirical</w:t>
      </w:r>
      <w:r>
        <w:t xml:space="preserve"> </w:t>
      </w:r>
      <w:r>
        <w:t xml:space="preserve">minimum–maximum after training-only standardization and clipping; it is not a physical sensor limit. The</w:t>
      </w:r>
      <w:r>
        <w:t xml:space="preserve"> </w:t>
      </w:r>
      <w:r>
        <w:t xml:space="preserve">first 60% of Batch 7 selects checkpoints, and the remaining 40% is reserved for calibration; the</w:t>
      </w:r>
      <w:r>
        <w:t xml:space="preserve"> </w:t>
      </w:r>
      <w:r>
        <w:t xml:space="preserve">routing experiment further divides that calibration partition into temperature and selector</w:t>
      </w:r>
      <w:r>
        <w:t xml:space="preserve"> </w:t>
      </w:r>
      <w:r>
        <w:t xml:space="preserve">halves. Batches 8–10 are never used to fit preprocessing, endpoints, temperatures, selectors or</w:t>
      </w:r>
      <w:r>
        <w:t xml:space="preserve"> </w:t>
      </w:r>
      <w:r>
        <w:t xml:space="preserve">thresholds.</w:t>
      </w:r>
    </w:p>
    <w:p>
      <w:pPr>
        <w:pStyle w:val="BodyText"/>
      </w:pPr>
      <w:r>
        <w:t xml:space="preserve">Controlled faults are imposed after this training-only preprocessing in grouped standardized space.</w:t>
      </w:r>
      <w:r>
        <w:t xml:space="preserve"> </w:t>
      </w:r>
      <w:r>
        <w:t xml:space="preserve">The formal test assigns 40% of observations a scale-3 intervention on group 1 and fixes</w:t>
      </w:r>
      <w:r>
        <w:t xml:space="preserve"> </w:t>
      </w:r>
      <w:r>
        <w:t xml:space="preserve">q</w:t>
      </w:r>
      <w:r>
        <w:t xml:space="preserve"> </w:t>
      </w:r>
      <w:r>
        <w:t xml:space="preserve">= 1. Fault</w:t>
      </w:r>
      <w:r>
        <w:t xml:space="preserve"> </w:t>
      </w:r>
      <w:r>
        <w:t xml:space="preserve">assignment and 20% group missingness are generated independently to isolate their factorial effects. This</w:t>
      </w:r>
      <w:r>
        <w:t xml:space="preserve"> </w:t>
      </w:r>
      <w:r>
        <w:t xml:space="preserve">is a stress design, not a claim that all missingness–corruption combinations occur naturally. Of 4,364 test</w:t>
      </w:r>
      <w:r>
        <w:t xml:space="preserve"> </w:t>
      </w:r>
      <w:r>
        <w:t xml:space="preserve">observations, 1,765 are assigned the intervention; group 1 remains available and receives it in 1,436,</w:t>
      </w:r>
      <w:r>
        <w:t xml:space="preserve"> </w:t>
      </w:r>
      <w:r>
        <w:t xml:space="preserve">whereas it is masked in 329. The strict recovery estimand is the former</w:t>
      </w:r>
      <w:r>
        <w:t xml:space="preserve"> </w:t>
      </w:r>
      <w:r>
        <w:t xml:space="preserve">fault-applied-and-available</w:t>
      </w:r>
      <w:r>
        <w:t xml:space="preserve"> </w:t>
      </w:r>
      <w:r>
        <w:t xml:space="preserve">subset.</w:t>
      </w:r>
      <w:r>
        <w:t xml:space="preserve"> </w:t>
      </w:r>
      <w:r>
        <w:t xml:space="preserve">Fault indices, missingness masks and intervention values are fixed across methods and optimization</w:t>
      </w:r>
      <w:r>
        <w:t xml:space="preserve"> </w:t>
      </w:r>
      <w:r>
        <w:t xml:space="preserve">seeds.</w:t>
      </w:r>
    </w:p>
    <w:p>
      <w:pPr>
        <w:pStyle w:val="BodyText"/>
      </w:pPr>
      <w:r>
        <w:t xml:space="preserve">The complete test set contains 294, 470 and 3,600 observations in batches 8, 9 and 10. Its six class</w:t>
      </w:r>
      <w:r>
        <w:t xml:space="preserve"> </w:t>
      </w:r>
      <w:r>
        <w:t xml:space="preserve">counts are 691, 685, 740, 708, 821 and 719. The corresponding strict-subset batch counts are 91, 165 and</w:t>
      </w:r>
      <w:r>
        <w:t xml:space="preserve"> </w:t>
      </w:r>
      <w:r>
        <w:t xml:space="preserve">1,180, and its Gaussian class counts are 230, 220, 230, 253, 266 and 237. Complete mechanism-by-batch</w:t>
      </w:r>
      <w:r>
        <w:t xml:space="preserve"> </w:t>
      </w:r>
      <w:r>
        <w:t xml:space="preserve">class tables are supplied in the Supplementary Information.</w:t>
      </w:r>
    </w:p>
    <w:p>
      <w:pPr>
        <w:pStyle w:val="BodyText"/>
      </w:pPr>
      <w:r>
        <w:t xml:space="preserve">Checkpoint selection and temperature calibration use separate fault-free views with independently</w:t>
      </w:r>
      <w:r>
        <w:t xml:space="preserve"> </w:t>
      </w:r>
      <w:r>
        <w:t xml:space="preserve">generated 10% group missingness; no controlled Gaussian, offset, drift or stuck-at intervention is added to</w:t>
      </w:r>
      <w:r>
        <w:t xml:space="preserve"> </w:t>
      </w:r>
      <w:r>
        <w:t xml:space="preserve">either subset. The checkpoint criterion is unweighted cross-entropy on the complete selection subset. For</w:t>
      </w:r>
      <w:r>
        <w:t xml:space="preserve"> </w:t>
      </w:r>
      <w:r>
        <w:t xml:space="preserve">the cross-fitted deployment run, temperature is fitted on the first chronological half of the calibration</w:t>
      </w:r>
      <w:r>
        <w:t xml:space="preserve"> </w:t>
      </w:r>
      <w:r>
        <w:t xml:space="preserve">partition, not an affected subset, by minimizing unweighted multiclass negative log-likelihood.</w:t>
      </w:r>
      <w:r>
        <w:t xml:space="preserve"> </w:t>
      </w:r>
      <w:r>
        <w:t xml:space="preserve">The resulting scalar is specific to each fitted seed and method and is applied unchanged to</w:t>
      </w:r>
      <w:r>
        <w:t xml:space="preserve"> </w:t>
      </w:r>
      <w:r>
        <w:t xml:space="preserve">every deployment stream. Controlled-fault and no-fault deployment streams use the same</w:t>
      </w:r>
      <w:r>
        <w:t xml:space="preserve"> </w:t>
      </w:r>
      <w:r>
        <w:t xml:space="preserve">fixed 20% group-missingness process so that fault prevalence is the changing factor. Earlier</w:t>
      </w:r>
      <w:r>
        <w:t xml:space="preserve"> </w:t>
      </w:r>
      <w:r>
        <w:t xml:space="preserve">natural-view analyses without imposed test missingness remain supplementary sensitivity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The expanded fault study crosses four prespecified mechanisms with realizations 70001–70008 and</w:t>
      </w:r>
      <w:r>
        <w:t xml:space="preserve"> </w:t>
      </w:r>
      <w:r>
        <w:t xml:space="preserve">fitted seeds 101–105. Model fitting always uses the Gaussian paired degradation defined above; offset, drift</w:t>
      </w:r>
      <w:r>
        <w:t xml:space="preserve"> </w:t>
      </w:r>
      <w:r>
        <w:t xml:space="preserve">and stuck-at are test-time interventions only. Gaussian faults add independent standardized noise. Offset</w:t>
      </w:r>
      <w:r>
        <w:t xml:space="preserve"> </w:t>
      </w:r>
      <w:r>
        <w:t xml:space="preserve">faults add a featurewise signed displacement. Drift multiplies that displacement by a monotone 0.25–1.00</w:t>
      </w:r>
      <w:r>
        <w:t xml:space="preserve"> </w:t>
      </w:r>
      <w:r>
        <w:t xml:space="preserve">trajectory over held-out acquisition order. Stuck-at faults replace the affected group’s standardized</w:t>
      </w:r>
      <w:r>
        <w:t xml:space="preserve"> </w:t>
      </w:r>
      <w:r>
        <w:t xml:space="preserve">features by a fixed signed vector. Within each realization, all mechanisms share affected rows and</w:t>
      </w:r>
      <w:r>
        <w:t xml:space="preserve"> </w:t>
      </w:r>
      <w:r>
        <w:t xml:space="preserve">missingness masks, while intervention values remain fixed across methods. These are controlled repeats on</w:t>
      </w:r>
      <w:r>
        <w:t xml:space="preserve"> </w:t>
      </w:r>
      <w:r>
        <w:t xml:space="preserve">one instrument.</w:t>
      </w:r>
    </w:p>
    <w:p>
      <w:pPr>
        <w:pStyle w:val="BodyText"/>
      </w:pPr>
      <w:r>
        <w:t xml:space="preserve">Table </w:t>
      </w:r>
      <w:hyperlink w:anchor="X2bf9e449f5f29f84b960691f16bbcf83ab6d0e9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translates the formal scale into empirical training-distribution displacement. At scale 3,</w:t>
      </w:r>
      <w:r>
        <w:t xml:space="preserve"> </w:t>
      </w:r>
      <w:r>
        <w:t xml:space="preserve">median absolute shifts were 1.89–3.10 training standard deviations and median percentile shifts were</w:t>
      </w:r>
      <w:r>
        <w:t xml:space="preserve"> </w:t>
      </w:r>
      <w:r>
        <w:t xml:space="preserve">0.36–0.56. Only 9.4–45.7% of corrupted values remained inside the training 1st–99th percentile interval.</w:t>
      </w:r>
      <w:r>
        <w:t xml:space="preserve"> </w:t>
      </w:r>
      <w:r>
        <w:t xml:space="preserve">The formal setting is therefore a severe standardized stress test, not a typical natural-failure model.</w:t>
      </w:r>
      <w:r>
        <w:t xml:space="preserve"> </w:t>
      </w:r>
      <w:r>
        <w:t xml:space="preserve">Scale-1 and scale-5 summaries and representative inverse-transformed feature examples are reported in the</w:t>
      </w:r>
      <w:r>
        <w:t xml:space="preserve"> </w:t>
      </w:r>
      <w:r>
        <w:t xml:space="preserve">Supplementary Information.</w:t>
      </w:r>
    </w:p>
    <w:p>
      <w:pPr>
        <w:pStyle w:val="BodyText"/>
      </w:pPr>
      <w:bookmarkStart w:id="130" w:name="x1-140012"/>
      <w:bookmarkEnd w:id="130"/>
    </w:p>
    <w:p>
      <w:pPr>
        <w:pStyle w:val="ImageCaption"/>
        <w:keepNext/>
        <w:keepLines/>
      </w:pPr>
      <w:r>
        <w:t xml:space="preserve">Table 2:</w:t>
      </w:r>
      <w:r>
        <w:t xml:space="preserve"> </w:t>
      </w:r>
      <w:r>
        <w:t xml:space="preserve">Fault-plausibility audit in the strict subset. Fractions are calculated featurewise against</w:t>
      </w:r>
      <w:r>
        <w:t xml:space="preserve"> </w:t>
      </w:r>
      <w:r>
        <w:t xml:space="preserve">batches 1–6. “Training range” denotes the observed training minimum–maximum, not a physical</w:t>
      </w:r>
      <w:r>
        <w:t xml:space="preserve"> </w:t>
      </w:r>
      <w:r>
        <w:t xml:space="preserve">sensor limit.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31" w:name="TBL-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Mechanism (scale 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Δ</w:t>
                  </w:r>
                  <w:r>
                    <w:t xml:space="preserve">z</w:t>
                  </w:r>
                  <w:r>
                    <w:t xml:space="preserve">|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percentile shift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Within training 1–99%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Within training range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0.656</w:t>
                  </w:r>
                </w:p>
              </w:tc>
            </w:tr>
          </w:tbl>
          <w:bookmarkEnd w:id="131"/>
          <w:p>
            <w:pPr>
              <w:spacing w:before="0" w:after="0" w:line="240" w:lineRule="auto"/>
            </w:pPr>
          </w:p>
        </w:tc>
      </w:tr>
    </w:tbl>
    <w:p>
      <w:pPr>
        <w:pStyle w:val="BodyText"/>
      </w:pPr>
      <w:r>
        <w:t xml:space="preserve">Exploratory controls vary diagnostic-quality metadata, leave-one-group-out training, response</w:t>
      </w:r>
      <w:r>
        <w:t xml:space="preserve"> </w:t>
      </w:r>
      <w:r>
        <w:t xml:space="preserve">bounds, weighting slope, ranking weight, fault group, severity and prevalence. They share</w:t>
      </w:r>
      <w:r>
        <w:t xml:space="preserve"> </w:t>
      </w:r>
      <w:r>
        <w:t xml:space="preserve">observations and fitted models, are not treated as independent replications and do not replace the</w:t>
      </w:r>
      <w:r>
        <w:t xml:space="preserve"> </w:t>
      </w:r>
      <w:r>
        <w:t xml:space="preserve">prespecified main setting. Full specifications and results are reported in the Supplementary</w:t>
      </w:r>
      <w:r>
        <w:t xml:space="preserve"> </w:t>
      </w:r>
      <w:r>
        <w:t xml:space="preserve">Information.</w:t>
      </w:r>
    </w:p>
    <w:bookmarkEnd w:id="132"/>
    <w:bookmarkStart w:id="135" w:name="X677d708d20320dd3341af513037832429446924"/>
    <w:p>
      <w:pPr>
        <w:pStyle w:val="Heading4"/>
      </w:pPr>
      <w:r>
        <w:t xml:space="preserve">3.8</w:t>
      </w:r>
      <w:r>
        <w:t xml:space="preserve"> </w:t>
      </w:r>
      <w:r>
        <w:t xml:space="preserve"> </w:t>
      </w:r>
      <w:bookmarkStart w:id="133" w:name="x1-150003.8"/>
      <w:bookmarkEnd w:id="133"/>
      <w:r>
        <w:t xml:space="preserve">Independent hydraulic single-rig sensitivity analysis</w:t>
      </w:r>
    </w:p>
    <w:p>
      <w:pPr>
        <w:pStyle w:val="FirstParagraph"/>
      </w:pPr>
      <w:r>
        <w:t xml:space="preserve">The UCI Condition Monitoring of Hydraulic Systems dataset contains 2,205 raw 60-s cycles from an</w:t>
      </w:r>
      <w:r>
        <w:t xml:space="preserve"> </w:t>
      </w:r>
      <w:r>
        <w:t xml:space="preserve">experimental hydraulic rig and native condition labels for cooler, valve, pump and accumulator states</w:t>
      </w:r>
      <w:r>
        <w:t xml:space="preserve"> </w:t>
      </w:r>
      <w:r>
        <w:t xml:space="preserve">(DOI:</w:t>
      </w:r>
      <w:r>
        <w:t xml:space="preserve"> </w:t>
      </w:r>
      <w:hyperlink r:id="rId134">
        <w:r>
          <w:rPr>
            <w:rStyle w:val="Hyperlink"/>
          </w:rPr>
          <w:t xml:space="preserve">10.24432/C5CW21</w:t>
        </w:r>
      </w:hyperlink>
      <w:r>
        <w:t xml:space="preserve">) [</w:t>
      </w:r>
      <w:hyperlink w:anchor="Xhelwig2015condition">
        <w:r>
          <w:rPr>
            <w:rStyle w:val="Hyperlink"/>
          </w:rPr>
          <w:t xml:space="preserve">22</w:t>
        </w:r>
      </w:hyperlink>
      <w:r>
        <w:t xml:space="preserve">, </w:t>
      </w:r>
      <w:hyperlink w:anchor="Xhelwig2018hydraulic">
        <w:r>
          <w:rPr>
            <w:rStyle w:val="Hyperlink"/>
          </w:rPr>
          <w:t xml:space="preserve">62</w:t>
        </w:r>
      </w:hyperlink>
      <w:r>
        <w:t xml:space="preserve">]. We retain 1,449 cycles marked as stable. Fourteen physical sensors</w:t>
      </w:r>
      <w:r>
        <w:t xml:space="preserve"> </w:t>
      </w:r>
      <w:r>
        <w:t xml:space="preserve">form five groups by measured quantity: six pressure sensors, two flow sensors, four temperature sensors,</w:t>
      </w:r>
      <w:r>
        <w:t xml:space="preserve"> </w:t>
      </w:r>
      <w:r>
        <w:t xml:space="preserve">motor power and vibration. This grouping is defined before model fitting and follows the measurement</w:t>
      </w:r>
      <w:r>
        <w:t xml:space="preserve"> </w:t>
      </w:r>
      <w:r>
        <w:t xml:space="preserve">system rather than a random partition.</w:t>
      </w:r>
    </w:p>
    <w:p>
      <w:pPr>
        <w:pStyle w:val="BodyText"/>
      </w:pPr>
      <w:r>
        <w:t xml:space="preserve">Each sensor is summarized by distributional and trend statistics. Unequal group lengths are aligned to</w:t>
      </w:r>
      <w:r>
        <w:t xml:space="preserve"> </w:t>
      </w:r>
      <w:r>
        <w:t xml:space="preserve">48 inputs; a zero-padded native-order representation audits possible smoothing. The main split preserves</w:t>
      </w:r>
      <w:r>
        <w:t xml:space="preserve"> </w:t>
      </w:r>
      <w:r>
        <w:t xml:space="preserve">acquisition order within every native condition class, assigns contiguous 60%/15%/10%/15% blocks and</w:t>
      </w:r>
      <w:r>
        <w:t xml:space="preserve"> </w:t>
      </w:r>
      <w:r>
        <w:t xml:space="preserve">removes five cycles at each boundary. A global chronological split would omit some condition</w:t>
      </w:r>
      <w:r>
        <w:t xml:space="preserve"> </w:t>
      </w:r>
      <w:r>
        <w:t xml:space="preserve">classes from training. After guard-band removal, the test counts are 72/72/74 for the three</w:t>
      </w:r>
      <w:r>
        <w:t xml:space="preserve"> </w:t>
      </w:r>
      <w:r>
        <w:t xml:space="preserve">cooler states, 54/54/54/56 for the four valve states, 74/72/72 for the three pump states and</w:t>
      </w:r>
      <w:r>
        <w:t xml:space="preserve"> </w:t>
      </w:r>
      <w:r>
        <w:t xml:space="preserve">56/54/54/54 for the four accumulator states. Recovery-objective-matched RO-PDRF-Full and</w:t>
      </w:r>
      <w:r>
        <w:t xml:space="preserve"> </w:t>
      </w:r>
      <w:r>
        <w:t xml:space="preserve">RO-CAGF use five matched seeds; controlled pressure- and vibration-group faults affect the</w:t>
      </w:r>
      <w:r>
        <w:t xml:space="preserve"> </w:t>
      </w:r>
      <w:r>
        <w:t xml:space="preserve">same 40% of test cycles. Component-condition labels are native to the rig, whereas sensor</w:t>
      </w:r>
      <w:r>
        <w:t xml:space="preserve"> </w:t>
      </w:r>
      <w:r>
        <w:t xml:space="preserve">faults remain interventions. Representation and random-split sensitivities are supplementary</w:t>
      </w:r>
      <w:r>
        <w:t xml:space="preserve"> </w:t>
      </w:r>
      <w:r>
        <w:t xml:space="preserve">[</w:t>
      </w:r>
      <w:hyperlink w:anchor="Xma2021multirate">
        <w:r>
          <w:rPr>
            <w:rStyle w:val="Hyperlink"/>
          </w:rPr>
          <w:t xml:space="preserve">23</w:t>
        </w:r>
      </w:hyperlink>
      <w:r>
        <w:t xml:space="preserve">–</w:t>
      </w:r>
      <w:hyperlink w:anchor="Xyildirim2025hydraulic">
        <w:r>
          <w:rPr>
            <w:rStyle w:val="Hyperlink"/>
          </w:rPr>
          <w:t xml:space="preserve">25</w:t>
        </w:r>
      </w:hyperlink>
      <w:r>
        <w:t xml:space="preserve">].</w:t>
      </w:r>
    </w:p>
    <w:bookmarkEnd w:id="135"/>
    <w:bookmarkStart w:id="138" w:name="Xe64f823acd1b9504c5af5fe47a9c6e086e49b26"/>
    <w:p>
      <w:pPr>
        <w:pStyle w:val="Heading4"/>
      </w:pPr>
      <w:r>
        <w:t xml:space="preserve">3.9</w:t>
      </w:r>
      <w:r>
        <w:t xml:space="preserve"> </w:t>
      </w:r>
      <w:r>
        <w:t xml:space="preserve"> </w:t>
      </w:r>
      <w:bookmarkStart w:id="136" w:name="x1-160003.9"/>
      <w:bookmarkEnd w:id="136"/>
      <w:r>
        <w:t xml:space="preserve">Real-operational AHU direct-diagnosis boundary analysis</w:t>
      </w:r>
    </w:p>
    <w:p>
      <w:pPr>
        <w:pStyle w:val="FirstParagraph"/>
      </w:pPr>
      <w:r>
        <w:t xml:space="preserve">We additionally use the open real-operational AHU dataset from an auditorium, a hospital and a</w:t>
      </w:r>
      <w:r>
        <w:t xml:space="preserve"> </w:t>
      </w:r>
      <w:r>
        <w:t xml:space="preserve">large office (Figshare DOI:</w:t>
      </w:r>
      <w:r>
        <w:t xml:space="preserve"> </w:t>
      </w:r>
      <w:hyperlink r:id="rId137">
        <w:r>
          <w:rPr>
            <w:rStyle w:val="Hyperlink"/>
          </w:rPr>
          <w:t xml:space="preserve">10.6084/m9.figshare.27147678.v3</w:t>
        </w:r>
      </w:hyperlink>
      <w:r>
        <w:t xml:space="preserve">) [</w:t>
      </w:r>
      <w:hyperlink w:anchor="Xwang2025ahuoperational">
        <w:r>
          <w:rPr>
            <w:rStyle w:val="Hyperlink"/>
          </w:rPr>
          <w:t xml:space="preserve">26</w:t>
        </w:r>
      </w:hyperlink>
      <w:r>
        <w:t xml:space="preserve">, </w:t>
      </w:r>
      <w:hyperlink w:anchor="Xwang2024ahudataset">
        <w:r>
          <w:rPr>
            <w:rStyle w:val="Hyperlink"/>
          </w:rPr>
          <w:t xml:space="preserve">27</w:t>
        </w:r>
      </w:hyperlink>
      <w:r>
        <w:t xml:space="preserve">]. The binary task uses</w:t>
      </w:r>
      <w:r>
        <w:t xml:space="preserve"> </w:t>
      </w:r>
      <w:r>
        <w:t xml:space="preserve">native, expert-annotated temperature-sensor-fault labels and no artificial test corruption. Seven</w:t>
      </w:r>
      <w:r>
        <w:t xml:space="preserve"> </w:t>
      </w:r>
      <w:r>
        <w:t xml:space="preserve">measurements form five physical groups; each building uses a chronological 60%/15%/10%/15%</w:t>
      </w:r>
      <w:r>
        <w:t xml:space="preserve"> </w:t>
      </w:r>
      <w:r>
        <w:t xml:space="preserve">split and five matched seeds. The untouched test periods contain 228/9,354 fault records in</w:t>
      </w:r>
      <w:r>
        <w:t xml:space="preserve"> </w:t>
      </w:r>
      <w:r>
        <w:t xml:space="preserve">the auditorium (2.44%), 1,495/9,362 in the hospital (15.97%) and 346/19,115 in the office</w:t>
      </w:r>
      <w:r>
        <w:t xml:space="preserve"> </w:t>
      </w:r>
      <w:r>
        <w:t xml:space="preserve">(1.81%). Return-air/supply-air subtype counts are 179/49, 1,487/8 and 293/53, respectively.</w:t>
      </w:r>
      <w:r>
        <w:t xml:space="preserve"> </w:t>
      </w:r>
      <w:r>
        <w:t xml:space="preserve">Because the label is the sensor fault itself and no independent downstream state is available,</w:t>
      </w:r>
      <w:r>
        <w:t xml:space="preserve"> </w:t>
      </w:r>
      <w:r>
        <w:t xml:space="preserve">this is a negative task-boundary audit, not downstream recovery validation. Detailed shift,</w:t>
      </w:r>
      <w:r>
        <w:t xml:space="preserve"> </w:t>
      </w:r>
      <w:r>
        <w:t xml:space="preserve">adaptation, risk–coverage and conformal analyses are reported in the Supplementary Information</w:t>
      </w:r>
      <w:r>
        <w:t xml:space="preserve"> </w:t>
      </w:r>
      <w:r>
        <w:t xml:space="preserve">[</w:t>
      </w:r>
      <w:hyperlink w:anchor="Xpodkopaev2021distribution">
        <w:r>
          <w:rPr>
            <w:rStyle w:val="Hyperlink"/>
          </w:rPr>
          <w:t xml:space="preserve">41</w:t>
        </w:r>
      </w:hyperlink>
      <w:r>
        <w:t xml:space="preserve">–</w:t>
      </w:r>
      <w:hyperlink w:anchor="Xmirza2022normalization">
        <w:r>
          <w:rPr>
            <w:rStyle w:val="Hyperlink"/>
          </w:rPr>
          <w:t xml:space="preserve">44</w:t>
        </w:r>
      </w:hyperlink>
      <w:r>
        <w:t xml:space="preserve">].</w:t>
      </w:r>
    </w:p>
    <w:bookmarkEnd w:id="138"/>
    <w:bookmarkStart w:id="145" w:name="Xd8443f655b2fad1aefdbe39f731936fbb151b38"/>
    <w:p>
      <w:pPr>
        <w:pStyle w:val="Heading4"/>
      </w:pPr>
      <w:r>
        <w:t xml:space="preserve">3.10</w:t>
      </w:r>
      <w:r>
        <w:t xml:space="preserve"> </w:t>
      </w:r>
      <w:r>
        <w:t xml:space="preserve"> </w:t>
      </w:r>
      <w:bookmarkStart w:id="139" w:name="x1-170003.10"/>
      <w:bookmarkEnd w:id="139"/>
      <w:r>
        <w:t xml:space="preserve">Training, metrics and statistical analysis</w:t>
      </w:r>
    </w:p>
    <w:p>
      <w:pPr>
        <w:pStyle w:val="FirstParagraph"/>
      </w:pPr>
      <w:r>
        <w:t xml:space="preserve">AdamW uses learning rate 2</w:t>
      </w:r>
      <w:r>
        <w:t xml:space="preserve"> </w:t>
      </w:r>
      <w:r>
        <w:t xml:space="preserve">×</w:t>
      </w:r>
      <w:r>
        <w:t xml:space="preserve"> </w:t>
      </w:r>
      <w:r>
        <w:t xml:space="preserve">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3</w:t>
      </w:r>
      <w:r>
        <w:t xml:space="preserve">, weight decay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, batch size 256 and gradient clipping at 5.</w:t>
      </w:r>
      <w:r>
        <w:t xml:space="preserve"> </w:t>
      </w:r>
      <w:r>
        <w:t xml:space="preserve">Chemical-array training uses at most 60 epochs, hydraulic training uses at most 80 and AHU training</w:t>
      </w:r>
      <w:r>
        <w:t xml:space="preserve"> </w:t>
      </w:r>
      <w:r>
        <w:t xml:space="preserve">uses at most 12. Checkpoints minimize unweighted selection cross-entropy and stop after</w:t>
      </w:r>
      <w:r>
        <w:t xml:space="preserve"> </w:t>
      </w:r>
      <w:r>
        <w:t xml:space="preserve">nine epochs without an improvement greater than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. RO-PDRF-Lite, RO-PDRF-Full,</w:t>
      </w:r>
      <w:r>
        <w:t xml:space="preserve"> </w:t>
      </w:r>
      <w:r>
        <w:t xml:space="preserve">RO-PDRF-EMA and all teacher controls use this identical criterion; no test metric selects</w:t>
      </w:r>
      <w:r>
        <w:t xml:space="preserve"> </w:t>
      </w:r>
      <w:r>
        <w:t xml:space="preserve">a checkpoint or variant. Class weights are</w:t>
      </w:r>
      <w:r>
        <w:t xml:space="preserve"> </w:t>
      </w:r>
      <w:r>
        <w:t xml:space="preserve">n∕</w:t>
      </w:r>
      <w:r>
        <w:t xml:space="preserve">(</w:t>
      </w:r>
      <w:r>
        <w:t xml:space="preserve">Cn</w:t>
      </w:r>
      <w:r>
        <w:rPr>
          <w:vertAlign w:val="subscript"/>
        </w:rPr>
        <w:t xml:space="preserve">c</w:t>
      </w:r>
      <w:r>
        <w:t xml:space="preserve">). No dropout or batch normalization is</w:t>
      </w:r>
      <w:r>
        <w:t xml:space="preserve"> </w:t>
      </w:r>
      <w:r>
        <w:t xml:space="preserve">used.</w:t>
      </w:r>
    </w:p>
    <w:p>
      <w:pPr>
        <w:pStyle w:val="BodyText"/>
      </w:pPr>
      <w:r>
        <w:t xml:space="preserve">The primary deployment outcomes are negative-transfer prevention, recovery retention and the utility</w:t>
      </w:r>
      <w:r>
        <w:t xml:space="preserve"> </w:t>
      </w:r>
      <w:r>
        <w:t xml:space="preserve">in Eq. (</w:t>
      </w:r>
      <w:hyperlink w:anchor="x1-13002r20">
        <w:r>
          <w:rPr>
            <w:rStyle w:val="Hyperlink"/>
          </w:rPr>
          <w:t xml:space="preserve">20</w:t>
        </w:r>
      </w:hyperlink>
      <w:r>
        <w:t xml:space="preserve">). Macro-AUROC, macro-AUPRC, NLL, multiclass Brier score and calibration are secondary.</w:t>
      </w:r>
      <w:r>
        <w:t xml:space="preserve"> </w:t>
      </w:r>
      <w:r>
        <w:t xml:space="preserve">Equal-width ECE partitions maximum class probability into 15 intervals on [0</w:t>
      </w:r>
      <w:r>
        <w:t xml:space="preserve">,</w:t>
      </w:r>
      <w:r>
        <w:t xml:space="preserve">1]. Equal-mass ECE splits</w:t>
      </w:r>
      <w:r>
        <w:t xml:space="preserve"> </w:t>
      </w:r>
      <w:r>
        <w:t xml:space="preserve">the sorted maximum probabilities into 15 groups. Classwise ECE applies 15 equal-width bins to each</w:t>
      </w:r>
      <w:r>
        <w:t xml:space="preserve"> </w:t>
      </w:r>
      <w:r>
        <w:t xml:space="preserve">one-versus-rest probability and averages the six values. Classwise AUROC, AUPRC and recall are</w:t>
      </w:r>
      <w:r>
        <w:t xml:space="preserve"> </w:t>
      </w:r>
      <w:r>
        <w:t xml:space="preserve">archived. Temperature scaling is fitted separately for each endpoint and optimization seed on the disjoint</w:t>
      </w:r>
      <w:r>
        <w:t xml:space="preserve"> </w:t>
      </w:r>
      <w:r>
        <w:t xml:space="preserve">first half of Batch 7.</w:t>
      </w:r>
    </w:p>
    <w:p>
      <w:pPr>
        <w:pStyle w:val="BodyText"/>
      </w:pPr>
      <w:r>
        <w:t xml:space="preserve">The deployment analyses are frozen as CEE-CF10-R2 for the Full endpoint and CEE-CF10-R2-LITE</w:t>
      </w:r>
      <w:r>
        <w:t xml:space="preserve"> </w:t>
      </w:r>
      <w:r>
        <w:t xml:space="preserve">for the primary Lite endpoint. Within each seed, one endpoint pair is reused across all four faults and</w:t>
      </w:r>
      <w:r>
        <w:t xml:space="preserve"> </w:t>
      </w:r>
      <w:r>
        <w:t xml:space="preserve">selector comparisons. Test realization 70001 is fixed. Means over the strict set give equal weight to</w:t>
      </w:r>
      <w:r>
        <w:t xml:space="preserve"> </w:t>
      </w:r>
      <w:r>
        <w:t xml:space="preserve">the four mechanism–seed cells. Clean/no-fault summaries contain one value per fitted pair.</w:t>
      </w:r>
      <w:r>
        <w:t xml:space="preserve"> </w:t>
      </w:r>
      <w:r>
        <w:t xml:space="preserve">Mechanism-specific effects use paired Student-</w:t>
      </w:r>
      <w:r>
        <w:t xml:space="preserve">t</w:t>
      </w:r>
      <w:r>
        <w:t xml:space="preserve"> </w:t>
      </w:r>
      <w:r>
        <w:t xml:space="preserve">intervals across the 10 fitted model pairs while holding the</w:t>
      </w:r>
      <w:r>
        <w:t xml:space="preserve"> </w:t>
      </w:r>
      <w:r>
        <w:t xml:space="preserve">mechanism fixed. They are labelled fitted-pair or fitting-variation intervals; all source files also report</w:t>
      </w:r>
      <w:r>
        <w:t xml:space="preserve"> </w:t>
      </w:r>
      <w:r>
        <w:t xml:space="preserve">every point, median, interquartile range and full range. No interval is interpreted as a significance</w:t>
      </w:r>
      <w:r>
        <w:t xml:space="preserve"> </w:t>
      </w:r>
      <w:r>
        <w:t xml:space="preserve">test.</w:t>
      </w:r>
    </w:p>
    <w:p>
      <w:pPr>
        <w:pStyle w:val="BodyText"/>
      </w:pPr>
      <w:r>
        <w:t xml:space="preserve">The strict subset contains 91 Batch 8, 165 Batch 9 and 1,180 Batch 10 observations per mechanism,</w:t>
      </w:r>
      <w:r>
        <w:t xml:space="preserve"> </w:t>
      </w:r>
      <w:r>
        <w:t xml:space="preserve">so Batch 10 supplies 82.2% of the observation-weighted result. The complete mechanism</w:t>
      </w:r>
      <w:r>
        <w:t xml:space="preserve">×</w:t>
      </w:r>
      <w:r>
        <w:t xml:space="preserve">batch</w:t>
      </w:r>
      <w:r>
        <w:t xml:space="preserve">×</w:t>
      </w:r>
      <w:r>
        <w:t xml:space="preserve">method</w:t>
      </w:r>
      <w:r>
        <w:t xml:space="preserve"> </w:t>
      </w:r>
      <w:r>
        <w:t xml:space="preserve">matrix reports accuracy, macro-AUROC, correction and harm opportunities, prevention, retention</w:t>
      </w:r>
      <w:r>
        <w:t xml:space="preserve"> </w:t>
      </w:r>
      <w:r>
        <w:t xml:space="preserve">and utility. We separately report pooled observation-weighted performance, an equal-batch</w:t>
      </w:r>
      <w:r>
        <w:t xml:space="preserve"> </w:t>
      </w:r>
      <w:r>
        <w:t xml:space="preserve">average, the worst acquisition batch and pooled Batches 8–9 versus Batch 10. Batch-aware</w:t>
      </w:r>
      <w:r>
        <w:t xml:space="preserve"> </w:t>
      </w:r>
      <w:r>
        <w:t xml:space="preserve">intervals hold mechanism, batch and test rows fixed and vary only the 10 fitted endpoint</w:t>
      </w:r>
      <w:r>
        <w:t xml:space="preserve"> </w:t>
      </w:r>
      <w:r>
        <w:t xml:space="preserve">pairs.</w:t>
      </w:r>
    </w:p>
    <w:p>
      <w:pPr>
        <w:pStyle w:val="BodyText"/>
      </w:pPr>
      <w:r>
        <w:t xml:space="preserve">The previous four-mechanism crossed bootstrap is retained only as a labelled sensitivity in the</w:t>
      </w:r>
      <w:r>
        <w:t xml:space="preserve"> </w:t>
      </w:r>
      <w:r>
        <w:t xml:space="preserve">Supplementary Information. It is not used for new headline inference because four top-level mechanism</w:t>
      </w:r>
      <w:r>
        <w:t xml:space="preserve"> </w:t>
      </w:r>
      <w:r>
        <w:t xml:space="preserve">clusters do not support a reliable mechanism-population bootstrap. Exact Wilcoxon tests across</w:t>
      </w:r>
      <w:r>
        <w:t xml:space="preserve"> </w:t>
      </w:r>
      <w:r>
        <w:t xml:space="preserve">optimization seeds are likewise reported only as fitting-stability diagnostics. Hydraulic summaries use a</w:t>
      </w:r>
      <w:r>
        <w:t xml:space="preserve"> </w:t>
      </w:r>
      <w:r>
        <w:t xml:space="preserve">task–fault–seed hierarchy; AHU results remain building-specific. The strict estimand and selector</w:t>
      </w:r>
      <w:r>
        <w:t xml:space="preserve"> </w:t>
      </w:r>
      <w:r>
        <w:t xml:space="preserve">analyses followed reviewer-driven audit and are not described as preregistered confirmatory</w:t>
      </w:r>
      <w:r>
        <w:t xml:space="preserve"> </w:t>
      </w:r>
      <w:r>
        <w:t xml:space="preserve">analyses.</w:t>
      </w:r>
    </w:p>
    <w:bookmarkStart w:id="144" w:name="x1-170012"/>
    <w:p>
      <w:pPr>
        <w:jc w:val="center"/>
      </w:pPr>
      <w:r>
        <w:drawing>
          <wp:inline>
            <wp:extent cx="5715000" cy="3655706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experimental_protoc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 2:</w:t>
      </w:r>
      <w:r>
        <w:t xml:space="preserve"> </w:t>
      </w:r>
      <w:r>
        <w:t xml:space="preserve">Integrated experimental protocol and controlled fault design.</w:t>
      </w:r>
      <w:r>
        <w:t xml:space="preserve"> </w:t>
      </w:r>
      <w:r>
        <w:t xml:space="preserve">The upper lane</w:t>
      </w:r>
      <w:r>
        <w:t xml:space="preserve"> </w:t>
      </w:r>
      <w:r>
        <w:t xml:space="preserve">follows the chemical-array acquisition order from batches 1–6 training through Batch 7 checkpoint</w:t>
      </w:r>
      <w:r>
        <w:t xml:space="preserve"> </w:t>
      </w:r>
      <w:r>
        <w:t xml:space="preserve">selection/calibration to held-out batches 8–10; fault indices, masks and intervention values are fixed</w:t>
      </w:r>
      <w:r>
        <w:t xml:space="preserve"> </w:t>
      </w:r>
      <w:r>
        <w:t xml:space="preserve">across methods and seeds. The lower lane follows the independent hydraulic rig from stable 60-s</w:t>
      </w:r>
      <w:r>
        <w:t xml:space="preserve"> </w:t>
      </w:r>
      <w:r>
        <w:t xml:space="preserve">cycles to the guarded within-condition blocked main analysis; the earlier stratified split is retained</w:t>
      </w:r>
      <w:r>
        <w:t xml:space="preserve"> </w:t>
      </w:r>
      <w:r>
        <w:t xml:space="preserve">only as a sensitivity analysis. Component-condition labels are native to the rig, whereas chemical,</w:t>
      </w:r>
      <w:r>
        <w:t xml:space="preserve"> </w:t>
      </w:r>
      <w:r>
        <w:t xml:space="preserve">pressure and vibration sensor corruptions remain controlled interventions.</w:t>
      </w:r>
    </w:p>
    <w:bookmarkEnd w:id="144"/>
    <w:bookmarkEnd w:id="145"/>
    <w:bookmarkEnd w:id="146"/>
    <w:bookmarkStart w:id="195" w:name="results"/>
    <w:p>
      <w:pPr>
        <w:pStyle w:val="Heading3"/>
      </w:pPr>
      <w:r>
        <w:t xml:space="preserve">4</w:t>
      </w:r>
      <w:r>
        <w:t xml:space="preserve"> </w:t>
      </w:r>
      <w:r>
        <w:t xml:space="preserve"> </w:t>
      </w:r>
      <w:bookmarkStart w:id="147" w:name="x1-180004"/>
      <w:bookmarkEnd w:id="147"/>
      <w:r>
        <w:t xml:space="preserve">Results</w:t>
      </w:r>
    </w:p>
    <w:bookmarkStart w:id="153" w:name="X083dc1fced0af5eab6a902077cbf1789041df85"/>
    <w:p>
      <w:pPr>
        <w:pStyle w:val="Heading4"/>
      </w:pPr>
      <w:r>
        <w:t xml:space="preserve">4.1</w:t>
      </w:r>
      <w:r>
        <w:t xml:space="preserve"> </w:t>
      </w:r>
      <w:r>
        <w:t xml:space="preserve"> </w:t>
      </w:r>
      <w:bookmarkStart w:id="148" w:name="x1-190004.1"/>
      <w:bookmarkEnd w:id="148"/>
      <w:r>
        <w:t xml:space="preserve">Always-base context and the support-gated deployment policy</w:t>
      </w:r>
    </w:p>
    <w:p>
      <w:pPr>
        <w:pStyle w:val="FirstParagraph"/>
      </w:pPr>
      <w:r>
        <w:t xml:space="preserve">The strict subset contains 1,436 observations per mechanism on which the assigned intervention reached</w:t>
      </w:r>
      <w:r>
        <w:t xml:space="preserve"> </w:t>
      </w:r>
      <w:r>
        <w:t xml:space="preserve">an available group. Across the 40 fixed mechanism–fitted-pair cells, PDRF achieved accuracy 0.4869 and</w:t>
      </w:r>
      <w:r>
        <w:t xml:space="preserve"> </w:t>
      </w:r>
      <w:r>
        <w:t xml:space="preserve">macro-AUROC 0.8115. Unconditional RO-PDRF-Lite increased these values to 0.5002 and 0.8175, but it</w:t>
      </w:r>
      <w:r>
        <w:t xml:space="preserve"> </w:t>
      </w:r>
      <w:r>
        <w:t xml:space="preserve">realizes every possible correction and every possible harm. Always PDRF is therefore the maximum-safety</w:t>
      </w:r>
      <w:r>
        <w:t xml:space="preserve"> </w:t>
      </w:r>
      <w:r>
        <w:t xml:space="preserve">reference: 100% negative-transfer prevention, 0% recovery retention and zero routing utility by definition</w:t>
      </w:r>
      <w:r>
        <w:t xml:space="preserve"> </w:t>
      </w:r>
      <w:r>
        <w:t xml:space="preserve">(Table </w:t>
      </w:r>
      <w:hyperlink w:anchor="Xc2360c235abdbbfa7e2b3107c065b983a481508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t xml:space="preserve">The historical frozen Lite-CF result is explicitly ungated. It selected recovery on 52.2% of strict rows,</w:t>
      </w:r>
      <w:r>
        <w:t xml:space="preserve"> </w:t>
      </w:r>
      <w:r>
        <w:t xml:space="preserve">prevented 94.7% of recovery-induced negative transfers and retained 9.7% of available corrections, yielding</w:t>
      </w:r>
      <w:r>
        <w:t xml:space="preserve"> </w:t>
      </w:r>
      <w:r>
        <w:t xml:space="preserve">accuracy 0.4885, macro-AUROC 0.8151 and equal-cost utility +15</w:t>
      </w:r>
      <w:r>
        <w:t xml:space="preserve">.</w:t>
      </w:r>
      <w:r>
        <w:t xml:space="preserve">8 per 10,000. Only 5/10 fitted</w:t>
      </w:r>
      <w:r>
        <w:t xml:space="preserve"> </w:t>
      </w:r>
      <w:r>
        <w:t xml:space="preserve">endpoint pairs passed the prespecified event, discrimination and threshold-stability support</w:t>
      </w:r>
      <w:r>
        <w:t xml:space="preserve"> </w:t>
      </w:r>
      <w:r>
        <w:t xml:space="preserve">criteria. Under the primary prospective policy, unsupported pairs revert to PDRF; this reduced</w:t>
      </w:r>
      <w:r>
        <w:t xml:space="preserve"> </w:t>
      </w:r>
      <w:r>
        <w:t xml:space="preserve">recovery selection to 31.1%, increased prevention to 96.2% and reduced retention to 6.6%. Its</w:t>
      </w:r>
      <w:r>
        <w:t xml:space="preserve"> </w:t>
      </w:r>
      <w:r>
        <w:t xml:space="preserve">macro-AUROC was 0.8132 and equal-cost utility was +7</w:t>
      </w:r>
      <w:r>
        <w:t xml:space="preserve">.</w:t>
      </w:r>
      <w:r>
        <w:t xml:space="preserve">5. The support-gated policy is thus</w:t>
      </w:r>
      <w:r>
        <w:t xml:space="preserve"> </w:t>
      </w:r>
      <w:r>
        <w:t xml:space="preserve">safer than the frozen router but only 0.0017 AUROC above always PDRF on this fixed test</w:t>
      </w:r>
      <w:r>
        <w:t xml:space="preserve"> </w:t>
      </w:r>
      <w:r>
        <w:t xml:space="preserve">set.</w:t>
      </w:r>
    </w:p>
    <w:p>
      <w:pPr>
        <w:pStyle w:val="BodyText"/>
      </w:pPr>
      <w:bookmarkStart w:id="149" w:name="x1-190013"/>
      <w:bookmarkEnd w:id="149"/>
    </w:p>
    <w:p>
      <w:pPr>
        <w:pStyle w:val="ImageCaption"/>
        <w:keepNext/>
        <w:keepLines/>
      </w:pPr>
      <w:r>
        <w:t xml:space="preserve">Table 3:</w:t>
      </w:r>
      <w:r>
        <w:t xml:space="preserve"> </w:t>
      </w:r>
      <w:r>
        <w:t xml:space="preserve">Strict-subset endpoints and calibration-frozen policies.</w:t>
      </w:r>
      <w:r>
        <w:t xml:space="preserve"> </w:t>
      </w:r>
      <w:r>
        <w:t xml:space="preserve">Values are means</w:t>
      </w:r>
      <w:r>
        <w:t xml:space="preserve"> </w:t>
      </w:r>
      <w:r>
        <w:t xml:space="preserve">over 40 fixed mechanism–fitted-pair cells. Prevention and retention have different opportunity</w:t>
      </w:r>
      <w:r>
        <w:t xml:space="preserve"> </w:t>
      </w:r>
      <w:r>
        <w:t xml:space="preserve">denominators.</w:t>
      </w:r>
      <w:r>
        <w:t xml:space="preserve"> </w:t>
      </w:r>
      <w:r>
        <w:t xml:space="preserve">U∕</w:t>
      </w:r>
      <w:r>
        <w:t xml:space="preserve">10</w:t>
      </w:r>
      <w:r>
        <w:rPr>
          <w:vertAlign w:val="superscript"/>
        </w:rPr>
        <w:t xml:space="preserve">4</w:t>
      </w:r>
      <w:r>
        <w:t xml:space="preserve"> </w:t>
      </w:r>
      <w:r>
        <w:t xml:space="preserve">uses equal correction and harm values and no compute penalty. The support</w:t>
      </w:r>
      <w:r>
        <w:t xml:space="preserve"> </w:t>
      </w:r>
      <w:r>
        <w:t xml:space="preserve">gate is the primary prospective policy; the 94.7%/9.7% row is the ungated frozen result. All</w:t>
      </w:r>
      <w:r>
        <w:t xml:space="preserve"> </w:t>
      </w:r>
      <w:r>
        <w:t xml:space="preserve">individual points and fitted-pair summaries are supplied as source data.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50" w:name="TBL-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Policy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Prevent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Retain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Select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U∕</w:t>
                  </w:r>
                  <w:r>
                    <w:t xml:space="preserve">10</w:t>
                  </w:r>
                  <w:r>
                    <w:rPr>
                      <w:vertAlign w:val="superscript"/>
                    </w:rP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Always 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Always RO-PDRF-Lite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132.1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Frozen Lite-CF (ungated)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Prospective support gate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All-row multinomial (safety)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All-row multinomial (utility 1:1)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107.9</w:t>
                  </w:r>
                </w:p>
              </w:tc>
            </w:tr>
          </w:tbl>
          <w:bookmarkEnd w:id="150"/>
          <w:p>
            <w:pPr>
              <w:spacing w:before="0" w:after="0" w:line="240" w:lineRule="auto"/>
            </w:pPr>
          </w:p>
        </w:tc>
      </w:tr>
    </w:tbl>
    <w:p>
      <w:pPr>
        <w:pStyle w:val="BodyText"/>
      </w:pPr>
      <w:r>
        <w:t xml:space="preserve">The 52.2% selection rate and 9.7% retention rate have different denominators. Selection is normalized</w:t>
      </w:r>
      <w:r>
        <w:t xml:space="preserve"> </w:t>
      </w:r>
      <w:r>
        <w:t xml:space="preserve">by all 1,436 strict observations, whereas retention is normalized only by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, the sparse rows on</w:t>
      </w:r>
      <w:r>
        <w:t xml:space="preserve"> </w:t>
      </w:r>
      <w:r>
        <w:t xml:space="preserve">which recovery alone corrects PDRF. Selection can therefore be high because the router also</w:t>
      </w:r>
      <w:r>
        <w:t xml:space="preserve"> </w:t>
      </w:r>
      <w:r>
        <w:t xml:space="preserve">chooses recovery on endpoint-class agreements and rows where both endpoints share correctness</w:t>
      </w:r>
      <w:r>
        <w:t xml:space="preserve"> </w:t>
      </w:r>
      <w:r>
        <w:t xml:space="preserve">status. Table </w:t>
      </w:r>
      <w:hyperlink w:anchor="X492e8a3e670f5c2022936a7252a3149dba964c6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the absolute event counts rather than only opportunity-normalized</w:t>
      </w:r>
      <w:r>
        <w:t xml:space="preserve"> </w:t>
      </w:r>
      <w:r>
        <w:t xml:space="preserve">rates.</w:t>
      </w:r>
    </w:p>
    <w:p>
      <w:pPr>
        <w:pStyle w:val="BodyText"/>
      </w:pPr>
      <w:bookmarkStart w:id="151" w:name="x1-190024"/>
      <w:bookmarkEnd w:id="151"/>
    </w:p>
    <w:p>
      <w:pPr>
        <w:pStyle w:val="ImageCaption"/>
        <w:keepNext/>
        <w:keepLines/>
      </w:pPr>
      <w:r>
        <w:t xml:space="preserve">Table 4:</w:t>
      </w:r>
      <w:r>
        <w:t xml:space="preserve"> </w:t>
      </w:r>
      <w:r>
        <w:t xml:space="preserve">Absolute strict-subset opportunities and routed events by mechanism.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are correction and harm opportunities;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are retained corrections and realized harms.</w:t>
      </w:r>
      <w:r>
        <w:t xml:space="preserve"> </w:t>
      </w:r>
      <w:r>
        <w:t xml:space="preserve">Counts are mean absolute events per 1,436-observation fitted pair, with ranges across 10 fitted pairs</w:t>
      </w:r>
      <w:r>
        <w:t xml:space="preserve"> </w:t>
      </w:r>
      <w:r>
        <w:t xml:space="preserve">in parentheses. Select uses all observations; prevent and retain use</w:t>
      </w:r>
      <w:r>
        <w:t xml:space="preserve"> 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rPr>
          <w:vertAlign w:val="subscript"/>
        </w:rPr>
        <w:t xml:space="preserve">C</w:t>
      </w:r>
      <w:r>
        <w:t xml:space="preserve">, respectively.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52" w:name="TBL-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Mechanism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Select (%)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Prevent (%)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Retain (%)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45.9 (36–70)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18.9 (13–32)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 (0–16)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 (0–4)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51.9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91.2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13.5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33.6 (10–49)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16.9 (3–37)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 (0–9)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 (0–15)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54.1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93.6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24.7 (5–43)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13.6 (4–29)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 (0–7)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 (0–6)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53.9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97.3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38.7 (16–86)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 (2–36)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 (0–15)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 (0–4)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48.7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96.6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  <w:r>
                    <w:t xml:space="preserve"> </w:t>
                  </w:r>
                </w:p>
              </w:tc>
            </w:tr>
          </w:tbl>
          <w:bookmarkEnd w:id="152"/>
          <w:p>
            <w:pPr>
              <w:spacing w:before="0" w:after="0" w:line="240" w:lineRule="auto"/>
            </w:pPr>
          </w:p>
        </w:tc>
      </w:tr>
    </w:tbl>
    <w:p>
      <w:pPr>
        <w:pStyle w:val="BodyText"/>
      </w:pPr>
      <w:r>
        <w:t xml:space="preserve">The routed probability vector improved on PDRF for NLL, Brier score, ECE and macro-AUPRC, but</w:t>
      </w:r>
      <w:r>
        <w:t xml:space="preserve"> </w:t>
      </w:r>
      <w:r>
        <w:t xml:space="preserve">remained below unconditional RO-PDRF-Lite for every strict-set probability metric. On the</w:t>
      </w:r>
      <w:r>
        <w:t xml:space="preserve"> </w:t>
      </w:r>
      <w:r>
        <w:t xml:space="preserve">complete 40%-prevalence stream, Lite-CF/PDRF/RO-PDRF-Lite macro-AUROC values were</w:t>
      </w:r>
      <w:r>
        <w:t xml:space="preserve"> </w:t>
      </w:r>
      <w:r>
        <w:t xml:space="preserve">0.8441/0.8426/0.8451, and NLL values were 2.1386/2.2131/2.1135. On the no-imposed-fault stream, their</w:t>
      </w:r>
      <w:r>
        <w:t xml:space="preserve"> </w:t>
      </w:r>
      <w:r>
        <w:t xml:space="preserve">macro-AUROCs were 0.8629/0.8631/0.8623 and NLL values were 1.8636/1.9002/1.8626. Lite-CF</w:t>
      </w:r>
      <w:r>
        <w:t xml:space="preserve"> </w:t>
      </w:r>
      <w:r>
        <w:t xml:space="preserve">prevented 94.2% of no-fault negative transfers but retained only 1.7% of no-fault corrections, giving</w:t>
      </w:r>
      <w:r>
        <w:t xml:space="preserve"> </w:t>
      </w:r>
      <w:r>
        <w:t xml:space="preserve">−</w:t>
      </w:r>
      <w:r>
        <w:t xml:space="preserve">5</w:t>
      </w:r>
      <w:r>
        <w:t xml:space="preserve">.</w:t>
      </w:r>
      <w:r>
        <w:t xml:space="preserve">3</w:t>
      </w:r>
      <w:r>
        <w:t xml:space="preserve"> </w:t>
      </w:r>
      <w:r>
        <w:t xml:space="preserve">net correct decisions per 10,000. A low residual-harm rate—the observation-level form of a</w:t>
      </w:r>
      <w:r>
        <w:t xml:space="preserve"> </w:t>
      </w:r>
      <w:r>
        <w:t xml:space="preserve">harmful switch—therefore does not imply that the routed probability vector is uniformly</w:t>
      </w:r>
      <w:r>
        <w:t xml:space="preserve"> </w:t>
      </w:r>
      <w:r>
        <w:t xml:space="preserve">better.</w:t>
      </w:r>
    </w:p>
    <w:bookmarkEnd w:id="153"/>
    <w:bookmarkStart w:id="159" w:name="X190f8c26e2aee85a59628caa07a371dfb3bac35"/>
    <w:p>
      <w:pPr>
        <w:pStyle w:val="Heading4"/>
      </w:pPr>
      <w:r>
        <w:t xml:space="preserve">4.2</w:t>
      </w:r>
      <w:r>
        <w:t xml:space="preserve"> </w:t>
      </w:r>
      <w:r>
        <w:t xml:space="preserve"> </w:t>
      </w:r>
      <w:bookmarkStart w:id="154" w:name="x1-200004.2"/>
      <w:bookmarkEnd w:id="154"/>
      <w:r>
        <w:t xml:space="preserve">All-row routing and simple controls exposed the selected-sample limit</w:t>
      </w:r>
    </w:p>
    <w:p>
      <w:pPr>
        <w:pStyle w:val="FirstParagraph"/>
      </w:pPr>
      <w:r>
        <w:t xml:space="preserve">Each calibration fit contained a mean of 36.1 base-better, 1,771.2 equivalent and 53.6 recovery-better</w:t>
      </w:r>
      <w:r>
        <w:t xml:space="preserve"> </w:t>
      </w:r>
      <w:r>
        <w:t xml:space="preserve">rows. The all-row multinomial model used all three outcomes rather than fitting only the</w:t>
      </w:r>
      <w:r>
        <w:t xml:space="preserve"> </w:t>
      </w:r>
      <w:r>
        <w:t xml:space="preserve">89.7 correctness disagreements. Its pooled out-of-fold confusion matrix classified 73.7% of</w:t>
      </w:r>
      <w:r>
        <w:t xml:space="preserve"> </w:t>
      </w:r>
      <w:r>
        <w:t xml:space="preserve">base-better, 81.8% of equivalent and 56.3% of recovery-better rows correctly; mean out-of-fold</w:t>
      </w:r>
      <w:r>
        <w:t xml:space="preserve"> </w:t>
      </w:r>
      <w:r>
        <w:t xml:space="preserve">accuracy, NLL and three-class Brier score were 0.809, 0.523 and 0.260. The model therefore</w:t>
      </w:r>
      <w:r>
        <w:t xml:space="preserve"> </w:t>
      </w:r>
      <w:r>
        <w:t xml:space="preserve">reduced the estimand mismatch but did not make the rare endpoint-preference classes easy to</w:t>
      </w:r>
      <w:r>
        <w:t xml:space="preserve"> </w:t>
      </w:r>
      <w:r>
        <w:t xml:space="preserve">identify.</w:t>
      </w:r>
    </w:p>
    <w:p>
      <w:pPr>
        <w:pStyle w:val="BodyText"/>
      </w:pPr>
      <w:r>
        <w:t xml:space="preserve">At its safety threshold, the all-row router achieved 97.2% prevention and 7.3% retention with only</w:t>
      </w:r>
      <w:r>
        <w:t xml:space="preserve"> </w:t>
      </w:r>
      <w:r>
        <w:t xml:space="preserve">3.0% recovery selection and +9</w:t>
      </w:r>
      <w:r>
        <w:t xml:space="preserve">.</w:t>
      </w:r>
      <w:r>
        <w:t xml:space="preserve">6 equal-cost utility. Complete fixed-test curves additionally compare the</w:t>
      </w:r>
      <w:r>
        <w:t xml:space="preserve"> </w:t>
      </w:r>
      <w:r>
        <w:t xml:space="preserve">conditional model, two-stage model, random ranking, confidence difference, entropy difference, base</w:t>
      </w:r>
      <w:r>
        <w:t xml:space="preserve"> </w:t>
      </w:r>
      <w:r>
        <w:t xml:space="preserve">uncertainty, logit-margin difference and shallow tree (Fig. </w:t>
      </w:r>
      <w:hyperlink w:anchor="X296b5b21bcdc3c13ee20c037173546f8e08bbcb">
        <w:r>
          <w:rPr>
            <w:rStyle w:val="Hyperlink"/>
          </w:rPr>
          <w:t xml:space="preserve">3</w:t>
        </w:r>
      </w:hyperlink>
      <w:r>
        <w:t xml:space="preserve">a). No comparator curve empirically</w:t>
      </w:r>
      <w:r>
        <w:t xml:space="preserve"> </w:t>
      </w:r>
      <w:r>
        <w:t xml:space="preserve">dominated the frozen operating point in both mean prevention and mean retention. Thresholds matched</w:t>
      </w:r>
      <w:r>
        <w:t xml:space="preserve"> </w:t>
      </w:r>
      <w:r>
        <w:t xml:space="preserve">on calibration did not remain exactly matched on test: the random control at the calibration-prevention</w:t>
      </w:r>
      <w:r>
        <w:t xml:space="preserve"> </w:t>
      </w:r>
      <w:r>
        <w:t xml:space="preserve">target produced 97.8% test prevention and 2.1% retention, whereas its calibration-retention target</w:t>
      </w:r>
      <w:r>
        <w:t xml:space="preserve"> </w:t>
      </w:r>
      <w:r>
        <w:t xml:space="preserve">produced 79.4% prevention and 20.5% retention. The entropy rule gave 97.4%/7.5% and 85.3%/21.8% in</w:t>
      </w:r>
      <w:r>
        <w:t xml:space="preserve"> </w:t>
      </w:r>
      <w:r>
        <w:t xml:space="preserve">the corresponding regimes. This transport error is why no simple test-curve point replaces the submitted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Class-conditional logistic indicators improved disagreement preference AUROC from 0.562 to 0.680</w:t>
      </w:r>
      <w:r>
        <w:t xml:space="preserve"> </w:t>
      </w:r>
      <w:r>
        <w:t xml:space="preserve">and produced +85</w:t>
      </w:r>
      <w:r>
        <w:t xml:space="preserve">.</w:t>
      </w:r>
      <w:r>
        <w:t xml:space="preserve">0 equal-cost utility, but prevention fell to 71.5%. A direct logit-margin</w:t>
      </w:r>
      <w:r>
        <w:t xml:space="preserve"> </w:t>
      </w:r>
      <w:r>
        <w:t xml:space="preserve">utility rule produced +118</w:t>
      </w:r>
      <w:r>
        <w:t xml:space="preserve">.</w:t>
      </w:r>
      <w:r>
        <w:t xml:space="preserve">4 utility with only 19.2% prevention. Rank-normalized features</w:t>
      </w:r>
      <w:r>
        <w:t xml:space="preserve"> </w:t>
      </w:r>
      <w:r>
        <w:t xml:space="preserve">retained 94.3% prevention but only 8.0% of corrections. These controls show that greater average</w:t>
      </w:r>
      <w:r>
        <w:t xml:space="preserve"> </w:t>
      </w:r>
      <w:r>
        <w:t xml:space="preserve">utility is achievable by accepting more harmful transfers; they do not dominate the safety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Mechanism-fixed paired intervals replace the four-cluster bootstrap (Table </w:t>
      </w:r>
      <w:hyperlink w:anchor="X125b496f7c8d569d4defb01436a9e2d239288fa">
        <w:r>
          <w:rPr>
            <w:rStyle w:val="Hyperlink"/>
          </w:rPr>
          <w:t xml:space="preserve">5</w:t>
        </w:r>
      </w:hyperlink>
      <w:r>
        <w:t xml:space="preserve">). On the present fixed</w:t>
      </w:r>
      <w:r>
        <w:t xml:space="preserve"> </w:t>
      </w:r>
      <w:r>
        <w:t xml:space="preserve">test set, Gaussian accuracy, AUROC and equal-cost utility differences were positive across fitted model</w:t>
      </w:r>
      <w:r>
        <w:t xml:space="preserve"> </w:t>
      </w:r>
      <w:r>
        <w:t xml:space="preserve">pairs. Stuck-at AUROC was also positive, whereas its accuracy and utility intervals crossed zero.</w:t>
      </w:r>
      <w:r>
        <w:t xml:space="preserve"> </w:t>
      </w:r>
      <w:r>
        <w:t xml:space="preserve">Offset and drift intervals crossed zero for most hard-decision quantities. Gaussian AUROC</w:t>
      </w:r>
      <w:r>
        <w:t xml:space="preserve"> </w:t>
      </w:r>
      <w:r>
        <w:t xml:space="preserve">differences were positive within batches 8, 9 and 10 (+0</w:t>
      </w:r>
      <w:r>
        <w:t xml:space="preserve">.</w:t>
      </w:r>
      <w:r>
        <w:t xml:space="preserve">0062, +0</w:t>
      </w:r>
      <w:r>
        <w:t xml:space="preserve">.</w:t>
      </w:r>
      <w:r>
        <w:t xml:space="preserve">0077 and +0</w:t>
      </w:r>
      <w:r>
        <w:t xml:space="preserve">.</w:t>
      </w:r>
      <w:r>
        <w:t xml:space="preserve">0061). These</w:t>
      </w:r>
      <w:r>
        <w:t xml:space="preserve"> </w:t>
      </w:r>
      <w:r>
        <w:t xml:space="preserve">intervals quantify fitting variation on fixed observations, not a population of devices or fault</w:t>
      </w:r>
      <w:r>
        <w:t xml:space="preserve"> </w:t>
      </w:r>
      <w:r>
        <w:t xml:space="preserve">mechanisms.</w:t>
      </w:r>
    </w:p>
    <w:p>
      <w:pPr>
        <w:pStyle w:val="BodyText"/>
      </w:pPr>
      <w:bookmarkStart w:id="155" w:name="x1-200015"/>
      <w:bookmarkEnd w:id="155"/>
    </w:p>
    <w:p>
      <w:pPr>
        <w:pStyle w:val="ImageCaption"/>
        <w:keepNext/>
        <w:keepLines/>
      </w:pPr>
      <w:r>
        <w:t xml:space="preserve">Table 5:</w:t>
      </w:r>
      <w:r>
        <w:t xml:space="preserve"> </w:t>
      </w:r>
      <w:r>
        <w:t xml:space="preserve">Mechanism-fixed paired differences for the hard-decision objective.</w:t>
      </w:r>
      <w:r>
        <w:t xml:space="preserve"> </w:t>
      </w:r>
      <w:r>
        <w:t xml:space="preserve">Values are</w:t>
      </w:r>
      <w:r>
        <w:t xml:space="preserve"> </w:t>
      </w:r>
      <w:r>
        <w:t xml:space="preserve">Lite-CF minus PDRF. Brackets are paired 95% Student-</w:t>
      </w:r>
      <w:r>
        <w:t xml:space="preserve">t</w:t>
      </w:r>
      <w:r>
        <w:t xml:space="preserve"> </w:t>
      </w:r>
      <w:r>
        <w:t xml:space="preserve">intervals across 10 fitted model pairs</w:t>
      </w:r>
      <w:r>
        <w:t xml:space="preserve"> </w:t>
      </w:r>
      <w:r>
        <w:t xml:space="preserve">while holding mechanism and test observations fixed. Equal-cost utility uses</w:t>
      </w:r>
      <w:r>
        <w:t xml:space="preserve"> </w:t>
      </w:r>
      <w:r>
        <w:t xml:space="preserve">V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t xml:space="preserve">C</w:t>
      </w:r>
      <w:r>
        <w:rPr>
          <w:vertAlign w:val="subscript"/>
        </w:rPr>
        <w:t xml:space="preserve">H</w:t>
      </w:r>
      <w:r>
        <w:t xml:space="preserve"> </w:t>
      </w:r>
      <w:r>
        <w:t xml:space="preserve">= 1 and</w:t>
      </w:r>
      <w:r>
        <w:t xml:space="preserve"> </w:t>
      </w:r>
      <w:r>
        <w:t xml:space="preserve">λ</w:t>
      </w:r>
      <w:r>
        <w:t xml:space="preserve"> </w:t>
      </w:r>
      <w:r>
        <w:t xml:space="preserve">= 0. These are conditional fitting-stability summaries, not population intervals.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56" w:name="TBL-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Fixed mechanism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Δ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Δ macro-AUROC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Equal-cost</w:t>
                  </w:r>
                  <w:r>
                    <w:t xml:space="preserve"> </w:t>
                  </w:r>
                  <w:r>
                    <w:t xml:space="preserve">U∕</w:t>
                  </w:r>
                  <w:r>
                    <w:t xml:space="preserve">10</w:t>
                  </w:r>
                  <w:r>
                    <w:rPr>
                      <w:vertAlign w:val="superscript"/>
                    </w:rP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0033 [+0</w:t>
                  </w:r>
                  <w:r>
                    <w:t xml:space="preserve">.</w:t>
                  </w:r>
                  <w:r>
                    <w:t xml:space="preserve">0005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0061]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0064 [+0</w:t>
                  </w:r>
                  <w:r>
                    <w:t xml:space="preserve">.</w:t>
                  </w:r>
                  <w:r>
                    <w:t xml:space="preserve">0034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0093]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+32</w:t>
                  </w:r>
                  <w:r>
                    <w:t xml:space="preserve">.</w:t>
                  </w:r>
                  <w:r>
                    <w:t xml:space="preserve">73 [+4</w:t>
                  </w:r>
                  <w:r>
                    <w:t xml:space="preserve">.</w:t>
                  </w:r>
                  <w:r>
                    <w:t xml:space="preserve">94</w:t>
                  </w:r>
                  <w:r>
                    <w:t xml:space="preserve">,</w:t>
                  </w:r>
                  <w:r>
                    <w:t xml:space="preserve">+60</w:t>
                  </w:r>
                  <w:r>
                    <w:t xml:space="preserve">.</w:t>
                  </w:r>
                  <w:r>
                    <w:t xml:space="preserve">52]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0006 [</w:t>
                  </w:r>
                  <w:r>
                    <w:t xml:space="preserve">−</w:t>
                  </w:r>
                  <w:r>
                    <w:t xml:space="preserve">0</w:t>
                  </w:r>
                  <w:r>
                    <w:t xml:space="preserve">.</w:t>
                  </w:r>
                  <w:r>
                    <w:t xml:space="preserve">0012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0024]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0028 [0</w:t>
                  </w:r>
                  <w:r>
                    <w:t xml:space="preserve">.</w:t>
                  </w:r>
                  <w:r>
                    <w:t xml:space="preserve">0000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0057]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+5</w:t>
                  </w:r>
                  <w:r>
                    <w:t xml:space="preserve">.</w:t>
                  </w:r>
                  <w:r>
                    <w:t xml:space="preserve">57 [</w:t>
                  </w:r>
                  <w:r>
                    <w:t xml:space="preserve">−</w:t>
                  </w:r>
                  <w:r>
                    <w:t xml:space="preserve">12</w:t>
                  </w:r>
                  <w:r>
                    <w:t xml:space="preserve">.</w:t>
                  </w:r>
                  <w:r>
                    <w:t xml:space="preserve">44</w:t>
                  </w:r>
                  <w:r>
                    <w:t xml:space="preserve">,</w:t>
                  </w:r>
                  <w:r>
                    <w:t xml:space="preserve">+23</w:t>
                  </w:r>
                  <w:r>
                    <w:t xml:space="preserve">.</w:t>
                  </w:r>
                  <w:r>
                    <w:t xml:space="preserve">58]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0008 [</w:t>
                  </w:r>
                  <w:r>
                    <w:t xml:space="preserve">−</w:t>
                  </w:r>
                  <w:r>
                    <w:t xml:space="preserve">0</w:t>
                  </w:r>
                  <w:r>
                    <w:t xml:space="preserve">.</w:t>
                  </w:r>
                  <w:r>
                    <w:t xml:space="preserve">0006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0022]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0018 [</w:t>
                  </w:r>
                  <w:r>
                    <w:t xml:space="preserve">−</w:t>
                  </w:r>
                  <w:r>
                    <w:t xml:space="preserve">0</w:t>
                  </w:r>
                  <w:r>
                    <w:t xml:space="preserve">.</w:t>
                  </w:r>
                  <w:r>
                    <w:t xml:space="preserve">0002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0037]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+8</w:t>
                  </w:r>
                  <w:r>
                    <w:t xml:space="preserve">.</w:t>
                  </w:r>
                  <w:r>
                    <w:t xml:space="preserve">36 [</w:t>
                  </w:r>
                  <w:r>
                    <w:t xml:space="preserve">−</w:t>
                  </w:r>
                  <w:r>
                    <w:t xml:space="preserve">5</w:t>
                  </w:r>
                  <w:r>
                    <w:t xml:space="preserve">.</w:t>
                  </w:r>
                  <w:r>
                    <w:t xml:space="preserve">69</w:t>
                  </w:r>
                  <w:r>
                    <w:t xml:space="preserve">,</w:t>
                  </w:r>
                  <w:r>
                    <w:t xml:space="preserve">+22</w:t>
                  </w:r>
                  <w:r>
                    <w:t xml:space="preserve">.</w:t>
                  </w:r>
                  <w:r>
                    <w:t xml:space="preserve">41]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0017 [</w:t>
                  </w:r>
                  <w:r>
                    <w:t xml:space="preserve">−</w:t>
                  </w:r>
                  <w:r>
                    <w:t xml:space="preserve">0</w:t>
                  </w:r>
                  <w:r>
                    <w:t xml:space="preserve">.</w:t>
                  </w:r>
                  <w:r>
                    <w:t xml:space="preserve">0004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0037]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0034 [+0</w:t>
                  </w:r>
                  <w:r>
                    <w:t xml:space="preserve">.</w:t>
                  </w:r>
                  <w:r>
                    <w:t xml:space="preserve">0005</w:t>
                  </w:r>
                  <w:r>
                    <w:t xml:space="preserve">,</w:t>
                  </w:r>
                  <w:r>
                    <w:t xml:space="preserve">+0</w:t>
                  </w:r>
                  <w:r>
                    <w:t xml:space="preserve">.</w:t>
                  </w:r>
                  <w:r>
                    <w:t xml:space="preserve">0063]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+16</w:t>
                  </w:r>
                  <w:r>
                    <w:t xml:space="preserve">.</w:t>
                  </w:r>
                  <w:r>
                    <w:t xml:space="preserve">71 [</w:t>
                  </w:r>
                  <w:r>
                    <w:t xml:space="preserve">−</w:t>
                  </w:r>
                  <w:r>
                    <w:t xml:space="preserve">3</w:t>
                  </w:r>
                  <w:r>
                    <w:t xml:space="preserve">.</w:t>
                  </w:r>
                  <w:r>
                    <w:t xml:space="preserve">92</w:t>
                  </w:r>
                  <w:r>
                    <w:t xml:space="preserve">,</w:t>
                  </w:r>
                  <w:r>
                    <w:t xml:space="preserve">+37</w:t>
                  </w:r>
                  <w:r>
                    <w:t xml:space="preserve">.</w:t>
                  </w:r>
                  <w:r>
                    <w:t xml:space="preserve">35]</w:t>
                  </w:r>
                </w:p>
              </w:tc>
            </w:tr>
          </w:tbl>
          <w:bookmarkEnd w:id="156"/>
          <w:p>
            <w:pPr>
              <w:spacing w:before="0" w:after="0" w:line="240" w:lineRule="auto"/>
            </w:pPr>
          </w:p>
        </w:tc>
      </w:tr>
    </w:tbl>
    <w:p>
      <w:pPr>
        <w:pStyle w:val="BodyText"/>
      </w:pPr>
      <w:r>
        <w:t xml:space="preserve">The formal scale 3 intervention is a severe stress test, so we repeated the frozen test protocol at</w:t>
      </w:r>
      <w:r>
        <w:t xml:space="preserve"> </w:t>
      </w:r>
      <w:r>
        <w:t xml:space="preserve">scale 1 without refitting endpoints, temperatures, selector coefficients or threshold. Lite-CF</w:t>
      </w:r>
      <w:r>
        <w:t xml:space="preserve"> </w:t>
      </w:r>
      <w:r>
        <w:t xml:space="preserve">then reached 0.8357 macro-AUROC versus 0.8344 for PDRF, prevented 96.0% of negative</w:t>
      </w:r>
      <w:r>
        <w:t xml:space="preserve"> </w:t>
      </w:r>
      <w:r>
        <w:t xml:space="preserve">transfers while retaining 5.3% of corrections and produced equal-cost utility +4</w:t>
      </w:r>
      <w:r>
        <w:t xml:space="preserve">.</w:t>
      </w:r>
      <w:r>
        <w:t xml:space="preserve">00 per 10,000</w:t>
      </w:r>
      <w:r>
        <w:t xml:space="preserve"> </w:t>
      </w:r>
      <w:r>
        <w:t xml:space="preserve">strict observations (Table </w:t>
      </w:r>
      <w:hyperlink w:anchor="X6c0532a4b9b829e209a3508f517ba7ca3f346f7">
        <w:r>
          <w:rPr>
            <w:rStyle w:val="Hyperlink"/>
          </w:rPr>
          <w:t xml:space="preserve">6</w:t>
        </w:r>
      </w:hyperlink>
      <w:r>
        <w:t xml:space="preserve">). Milder corruption improved absolute endpoint performance but</w:t>
      </w:r>
      <w:r>
        <w:t xml:space="preserve"> </w:t>
      </w:r>
      <w:r>
        <w:t xml:space="preserve">left fewer useful recovery opportunities, so safety prevention did not imply greater practical</w:t>
      </w:r>
      <w:r>
        <w:t xml:space="preserve"> </w:t>
      </w:r>
      <w:r>
        <w:t xml:space="preserve">benefit.</w:t>
      </w:r>
    </w:p>
    <w:p>
      <w:pPr>
        <w:pStyle w:val="BodyText"/>
      </w:pPr>
      <w:bookmarkStart w:id="157" w:name="x1-200026"/>
      <w:bookmarkEnd w:id="157"/>
    </w:p>
    <w:p>
      <w:pPr>
        <w:pStyle w:val="ImageCaption"/>
        <w:keepNext/>
        <w:keepLines/>
      </w:pPr>
      <w:r>
        <w:t xml:space="preserve">Table 6:</w:t>
      </w:r>
      <w:r>
        <w:t xml:space="preserve"> </w:t>
      </w:r>
      <w:r>
        <w:t xml:space="preserve">Mild and formal controlled-corruption severity.</w:t>
      </w:r>
      <w:r>
        <w:t xml:space="preserve"> </w:t>
      </w:r>
      <w:r>
        <w:t xml:space="preserve">Values are equal-weight means over</w:t>
      </w:r>
      <w:r>
        <w:t xml:space="preserve"> </w:t>
      </w:r>
      <w:r>
        <w:t xml:space="preserve">four fixed mechanisms and 10 fitted model pairs on the strict subset. The scale 1 audit reuses</w:t>
      </w:r>
      <w:r>
        <w:t xml:space="preserve"> </w:t>
      </w:r>
      <w:r>
        <w:t xml:space="preserve">the scale 3-calibrated selector without refitting or retuning.</w:t>
      </w:r>
      <w:r>
        <w:t xml:space="preserve"> </w:t>
      </w:r>
      <w:r>
        <w:t xml:space="preserve">U∕</w:t>
      </w:r>
      <w:r>
        <w:t xml:space="preserve">10</w:t>
      </w:r>
      <w:r>
        <w:rPr>
          <w:vertAlign w:val="superscript"/>
        </w:rPr>
        <w:t xml:space="preserve">4</w:t>
      </w:r>
      <w:r>
        <w:t xml:space="preserve"> </w:t>
      </w:r>
      <w:r>
        <w:t xml:space="preserve">uses equal correction and harm</w:t>
      </w:r>
      <w:r>
        <w:t xml:space="preserve"> </w:t>
      </w:r>
      <w:r>
        <w:t xml:space="preserve">values with no pass penalty.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58" w:name="TBL-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PDRF acc.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Lite-CF acc.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PDRF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Lite-CF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Prevent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Retain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U∕</w:t>
                  </w:r>
                  <w:r>
                    <w:t xml:space="preserve">10</w:t>
                  </w:r>
                  <w:r>
                    <w:rPr>
                      <w:vertAlign w:val="superscript"/>
                    </w:rP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+4.00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+15.84</w:t>
                  </w:r>
                </w:p>
              </w:tc>
            </w:tr>
          </w:tbl>
          <w:bookmarkEnd w:id="158"/>
          <w:p>
            <w:pPr>
              <w:spacing w:before="0" w:after="0" w:line="240" w:lineRule="auto"/>
            </w:pPr>
          </w:p>
        </w:tc>
      </w:tr>
    </w:tbl>
    <w:bookmarkEnd w:id="159"/>
    <w:bookmarkStart w:id="163" w:name="Xdb0ddb1a50f864a175761066a0fafeace216ae3"/>
    <w:p>
      <w:pPr>
        <w:pStyle w:val="Heading4"/>
      </w:pPr>
      <w:r>
        <w:t xml:space="preserve">4.3</w:t>
      </w:r>
      <w:r>
        <w:t xml:space="preserve"> </w:t>
      </w:r>
      <w:r>
        <w:t xml:space="preserve"> </w:t>
      </w:r>
      <w:bookmarkStart w:id="160" w:name="x1-210004.3"/>
      <w:bookmarkEnd w:id="160"/>
      <w:r>
        <w:t xml:space="preserve">Utility-aligned thresholds changed which policy was preferred</w:t>
      </w:r>
    </w:p>
    <w:p>
      <w:pPr>
        <w:pStyle w:val="FirstParagraph"/>
      </w:pPr>
      <w:r>
        <w:t xml:space="preserve">The frozen safety threshold and application-specific utility thresholds answer different questions. At equal</w:t>
      </w:r>
      <w:r>
        <w:t xml:space="preserve"> </w:t>
      </w:r>
      <w:r>
        <w:t xml:space="preserve">correction and harm values, the frozen router yielded +15</w:t>
      </w:r>
      <w:r>
        <w:t xml:space="preserve">.</w:t>
      </w:r>
      <w:r>
        <w:t xml:space="preserve">8 and the support gate +7</w:t>
      </w:r>
      <w:r>
        <w:t xml:space="preserve">.</w:t>
      </w:r>
      <w:r>
        <w:t xml:space="preserve">5 net corrections per</w:t>
      </w:r>
      <w:r>
        <w:t xml:space="preserve"> </w:t>
      </w:r>
      <w:r>
        <w:t xml:space="preserve">10,000, whereas utility-selected all-row and two-stage routers yielded +107</w:t>
      </w:r>
      <w:r>
        <w:t xml:space="preserve">.</w:t>
      </w:r>
      <w:r>
        <w:t xml:space="preserve">9 and +110</w:t>
      </w:r>
      <w:r>
        <w:t xml:space="preserve">.</w:t>
      </w:r>
      <w:r>
        <w:t xml:space="preserve">6. Always recovery</w:t>
      </w:r>
      <w:r>
        <w:t xml:space="preserve"> </w:t>
      </w:r>
      <w:r>
        <w:t xml:space="preserve">still gave the largest utility, +132</w:t>
      </w:r>
      <w:r>
        <w:t xml:space="preserve">.</w:t>
      </w:r>
      <w:r>
        <w:t xml:space="preserve">1, at the one-to-one ratio. When one harm cost two corrections, always</w:t>
      </w:r>
      <w:r>
        <w:t xml:space="preserve"> </w:t>
      </w:r>
      <w:r>
        <w:t xml:space="preserve">recovery fell to +15</w:t>
      </w:r>
      <w:r>
        <w:t xml:space="preserve">.</w:t>
      </w:r>
      <w:r>
        <w:t xml:space="preserve">5, while calibration-selected all-row and two-stage routing yielded +30</w:t>
      </w:r>
      <w:r>
        <w:t xml:space="preserve">.</w:t>
      </w:r>
      <w:r>
        <w:t xml:space="preserve">8 and +37</w:t>
      </w:r>
      <w:r>
        <w:t xml:space="preserve">.</w:t>
      </w:r>
      <w:r>
        <w:t xml:space="preserve">8.</w:t>
      </w:r>
      <w:r>
        <w:t xml:space="preserve"> </w:t>
      </w:r>
      <w:r>
        <w:t xml:space="preserve">Thus selective routing added decision value at the intermediate cost ratio even though the lexicographic</w:t>
      </w:r>
      <w:r>
        <w:t xml:space="preserve"> </w:t>
      </w:r>
      <w:r>
        <w:t xml:space="preserve">safety threshold did not.</w:t>
      </w:r>
    </w:p>
    <w:p>
      <w:pPr>
        <w:pStyle w:val="BodyText"/>
      </w:pPr>
      <w:r>
        <w:t xml:space="preserve">This advantage did not extend to high harm costs. At ratios 5 and 10, every learned or recovery policy</w:t>
      </w:r>
      <w:r>
        <w:t xml:space="preserve"> </w:t>
      </w:r>
      <w:r>
        <w:t xml:space="preserve">had negative test utility and always PDRF, with utility zero, dominated (Table </w:t>
      </w:r>
      <w:hyperlink w:anchor="X6f4aff3c9fce13f97ef1a30b47323223ed8f2b5">
        <w:r>
          <w:rPr>
            <w:rStyle w:val="Hyperlink"/>
          </w:rPr>
          <w:t xml:space="preserve">7</w:t>
        </w:r>
      </w:hyperlink>
      <w:r>
        <w:t xml:space="preserve">; Fig. </w:t>
      </w:r>
      <w:hyperlink w:anchor="X296b5b21bcdc3c13ee20c037173546f8e08bbcb">
        <w:r>
          <w:rPr>
            <w:rStyle w:val="Hyperlink"/>
          </w:rPr>
          <w:t xml:space="preserve">3</w:t>
        </w:r>
      </w:hyperlink>
      <w:r>
        <w:t xml:space="preserve">c). The all-row</w:t>
      </w:r>
      <w:r>
        <w:t xml:space="preserve"> </w:t>
      </w:r>
      <w:r>
        <w:t xml:space="preserve">safety threshold was the least negative learned policy at ratio 5 (</w:t>
      </w:r>
      <w:r>
        <w:t xml:space="preserve">−</w:t>
      </w:r>
      <w:r>
        <w:t xml:space="preserve">8</w:t>
      </w:r>
      <w:r>
        <w:t xml:space="preserve">.</w:t>
      </w:r>
      <w:r>
        <w:t xml:space="preserve">5), but it still did not justify routing.</w:t>
      </w:r>
      <w:r>
        <w:t xml:space="preserve"> </w:t>
      </w:r>
      <w:r>
        <w:t xml:space="preserve">Every application threshold was selected on pooled out-of-fold calibration predictions before</w:t>
      </w:r>
      <w:r>
        <w:t xml:space="preserve"> </w:t>
      </w:r>
      <w:r>
        <w:t xml:space="preserve">test evaluation. The failure at high ratios is therefore transport evidence, not a test-tuned</w:t>
      </w:r>
      <w:r>
        <w:t xml:space="preserve"> </w:t>
      </w:r>
      <w:r>
        <w:t xml:space="preserve">threshold choice. Complete-stream utility also remained negative at 0% and 10% controlled-fault</w:t>
      </w:r>
      <w:r>
        <w:t xml:space="preserve"> </w:t>
      </w:r>
      <w:r>
        <w:t xml:space="preserve">prevalence. Deployment must fix expected prevalence,</w:t>
      </w:r>
      <w:r>
        <w:t xml:space="preserve"> </w:t>
      </w:r>
      <w:r>
        <w:t xml:space="preserve">V</w:t>
      </w:r>
      <w:r>
        <w:t xml:space="preserve"> </w:t>
      </w:r>
      <w:r>
        <w:rPr>
          <w:vertAlign w:val="subscript"/>
        </w:rPr>
        <w:t xml:space="preserve">C</w:t>
      </w:r>
      <w:r>
        <w:t xml:space="preserve">,</w:t>
      </w:r>
      <w:r>
        <w:t xml:space="preserve"> </w:t>
      </w:r>
      <w:r>
        <w:t xml:space="preserve">C</w:t>
      </w:r>
      <w:r>
        <w:rPr>
          <w:vertAlign w:val="subscript"/>
        </w:rPr>
        <w:t xml:space="preserve">H</w:t>
      </w:r>
      <w:r>
        <w:t xml:space="preserve"> </w:t>
      </w:r>
      <w:r>
        <w:t xml:space="preserve">and compute cost before choosing a</w:t>
      </w:r>
      <w:r>
        <w:t xml:space="preserve"> </w:t>
      </w:r>
      <w:r>
        <w:t xml:space="preserve">threshold.</w:t>
      </w:r>
    </w:p>
    <w:p>
      <w:pPr>
        <w:pStyle w:val="BodyText"/>
      </w:pPr>
      <w:bookmarkStart w:id="161" w:name="x1-210017"/>
      <w:bookmarkEnd w:id="161"/>
    </w:p>
    <w:p>
      <w:pPr>
        <w:pStyle w:val="ImageCaption"/>
        <w:keepNext/>
        <w:keepLines/>
      </w:pPr>
      <w:r>
        <w:t xml:space="preserve">Table 7:</w:t>
      </w:r>
      <w:r>
        <w:t xml:space="preserve"> </w:t>
      </w:r>
      <w:r>
        <w:t xml:space="preserve">Fixed-safety and utility-selected policies.</w:t>
      </w:r>
      <w:r>
        <w:t xml:space="preserve"> </w:t>
      </w:r>
      <w:r>
        <w:t xml:space="preserve">Entries are net decision utility per 10,000</w:t>
      </w:r>
      <w:r>
        <w:t xml:space="preserve"> </w:t>
      </w:r>
      <w:r>
        <w:t xml:space="preserve">strict observations, with</w:t>
      </w:r>
      <w:r>
        <w:t xml:space="preserve"> </w:t>
      </w:r>
      <w:r>
        <w:t xml:space="preserve">V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= 1,</w:t>
      </w:r>
      <w:r>
        <w:t xml:space="preserve"> </w:t>
      </w:r>
      <w:r>
        <w:t xml:space="preserve">λ</w:t>
      </w:r>
      <w:r>
        <w:t xml:space="preserve"> </w:t>
      </w:r>
      <w:r>
        <w:t xml:space="preserve">= 0 and the indicated harm ratio. Utility thresholds are selected</w:t>
      </w:r>
      <w:r>
        <w:t xml:space="preserve"> </w:t>
      </w:r>
      <w:r>
        <w:t xml:space="preserve">only on out-of-fold calibration predictions; endpoint and safety policies retain their frozen decisions.</w:t>
      </w:r>
      <w:r>
        <w:t xml:space="preserve"> </w:t>
      </w:r>
      <w:r>
        <w:t xml:space="preserve">Always PDRF has utility zero by definition.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62" w:name="TBL-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  <w:r>
                    <w:rPr>
                      <w:vertAlign w:val="subscript"/>
                    </w:rPr>
                    <w:t xml:space="preserve">H</w:t>
                  </w:r>
                  <w:r>
                    <w:t xml:space="preserve">∕V</w:t>
                  </w:r>
                  <w:r>
                    <w:t xml:space="preserve"> </w:t>
                  </w:r>
                  <w:r>
                    <w:rPr>
                      <w:vertAlign w:val="subscript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Always base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Always recovery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Frozen safety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Support gate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All-row safety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All-row utility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Two-stage utility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334</w:t>
                  </w:r>
                  <w:r>
                    <w:t xml:space="preserve">.</w:t>
                  </w: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17</w:t>
                  </w:r>
                  <w:r>
                    <w:t xml:space="preserve">.</w:t>
                  </w: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19</w:t>
                  </w:r>
                  <w:r>
                    <w:t xml:space="preserve">.</w:t>
                  </w: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8</w:t>
                  </w:r>
                  <w:r>
                    <w:t xml:space="preserve">.</w:t>
                  </w: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20</w:t>
                  </w:r>
                  <w:r>
                    <w:t xml:space="preserve">.</w:t>
                  </w: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33</w:t>
                  </w:r>
                  <w:r>
                    <w:t xml:space="preserve">.</w:t>
                  </w: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917</w:t>
                  </w:r>
                  <w:r>
                    <w:t xml:space="preserve">.</w:t>
                  </w: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59</w:t>
                  </w:r>
                  <w:r>
                    <w:t xml:space="preserve">.</w:t>
                  </w: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53</w:t>
                  </w:r>
                  <w:r>
                    <w:t xml:space="preserve">.</w:t>
                  </w: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31</w:t>
                  </w:r>
                  <w:r>
                    <w:t xml:space="preserve">.</w:t>
                  </w: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95</w:t>
                  </w:r>
                  <w:r>
                    <w:t xml:space="preserve">.</w:t>
                  </w: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86</w:t>
                  </w:r>
                  <w:r>
                    <w:t xml:space="preserve">.</w:t>
                  </w:r>
                  <w:r>
                    <w:t xml:space="preserve">0</w:t>
                  </w:r>
                </w:p>
              </w:tc>
            </w:tr>
          </w:tbl>
          <w:bookmarkEnd w:id="162"/>
          <w:p>
            <w:pPr>
              <w:spacing w:before="0" w:after="0" w:line="240" w:lineRule="auto"/>
            </w:pPr>
          </w:p>
        </w:tc>
      </w:tr>
    </w:tbl>
    <w:bookmarkEnd w:id="163"/>
    <w:bookmarkStart w:id="177" w:name="Xeff0a3ff930c32f368834c506a7690442829b67"/>
    <w:p>
      <w:pPr>
        <w:pStyle w:val="Heading4"/>
      </w:pPr>
      <w:r>
        <w:t xml:space="preserve">4.4</w:t>
      </w:r>
      <w:r>
        <w:t xml:space="preserve"> </w:t>
      </w:r>
      <w:r>
        <w:t xml:space="preserve"> </w:t>
      </w:r>
      <w:bookmarkStart w:id="164" w:name="x1-220004.4"/>
      <w:bookmarkEnd w:id="164"/>
      <w:r>
        <w:t xml:space="preserve">Severity, affected-group, mechanism and batch transport</w:t>
      </w:r>
    </w:p>
    <w:p>
      <w:pPr>
        <w:pStyle w:val="FirstParagraph"/>
      </w:pPr>
      <w:r>
        <w:t xml:space="preserve">Selector transport was evaluated without changing endpoint architecture, endpoint training data or the</w:t>
      </w:r>
      <w:r>
        <w:t xml:space="preserve"> </w:t>
      </w:r>
      <w:r>
        <w:t xml:space="preserve">fixed test realization. A scale-3 conditional selector applied at test scales 1, 2 and 3 yielded equal-cost</w:t>
      </w:r>
      <w:r>
        <w:t xml:space="preserve"> </w:t>
      </w:r>
      <w:r>
        <w:t xml:space="preserve">utilities +4</w:t>
      </w:r>
      <w:r>
        <w:t xml:space="preserve">.</w:t>
      </w:r>
      <w:r>
        <w:t xml:space="preserve">0, +12</w:t>
      </w:r>
      <w:r>
        <w:t xml:space="preserve">.</w:t>
      </w:r>
      <w:r>
        <w:t xml:space="preserve">5 and +15</w:t>
      </w:r>
      <w:r>
        <w:t xml:space="preserve">.</w:t>
      </w:r>
      <w:r>
        <w:t xml:space="preserve">8, respectively. Conversely, a scale-1 selector applied at scale 3 yielded +5</w:t>
      </w:r>
      <w:r>
        <w:t xml:space="preserve">.</w:t>
      </w:r>
      <w:r>
        <w:t xml:space="preserve">9.</w:t>
      </w:r>
      <w:r>
        <w:t xml:space="preserve"> </w:t>
      </w:r>
      <w:r>
        <w:t xml:space="preserve">Across the full 3</w:t>
      </w:r>
      <w:r>
        <w:t xml:space="preserve"> </w:t>
      </w:r>
      <w:r>
        <w:t xml:space="preserve">×</w:t>
      </w:r>
      <w:r>
        <w:t xml:space="preserve"> </w:t>
      </w:r>
      <w:r>
        <w:t xml:space="preserve">3 calibration-to-test matrix, conditional-router utility ranged from +2</w:t>
      </w:r>
      <w:r>
        <w:t xml:space="preserve">.</w:t>
      </w:r>
      <w:r>
        <w:t xml:space="preserve">1 to +17</w:t>
      </w:r>
      <w:r>
        <w:t xml:space="preserve">.</w:t>
      </w:r>
      <w:r>
        <w:t xml:space="preserve">9 per</w:t>
      </w:r>
      <w:r>
        <w:t xml:space="preserve"> </w:t>
      </w:r>
      <w:r>
        <w:t xml:space="preserve">10,000 (Fig. </w:t>
      </w:r>
      <w:hyperlink w:anchor="X335558facdc38850085b660885aa2f3b0ed6078">
        <w:r>
          <w:rPr>
            <w:rStyle w:val="Hyperlink"/>
          </w:rPr>
          <w:t xml:space="preserve">4</w:t>
        </w:r>
      </w:hyperlink>
      <w:r>
        <w:t xml:space="preserve">a). Positive means therefore did not imply severity-invariant thresholds or event</w:t>
      </w:r>
      <w:r>
        <w:t xml:space="preserve"> </w:t>
      </w:r>
      <w:r>
        <w:t xml:space="preserve">rates.</w:t>
      </w:r>
    </w:p>
    <w:p>
      <w:pPr>
        <w:pStyle w:val="BodyText"/>
      </w:pPr>
      <w:r>
        <w:t xml:space="preserve">Calibration on affected group 1 also transferred unevenly. Conditional Lite-CF prevention/retention</w:t>
      </w:r>
      <w:r>
        <w:t xml:space="preserve"> </w:t>
      </w:r>
      <w:r>
        <w:t xml:space="preserve">changed from 94.7%/9.7% on group 1 to 80.8%/17.8%, 93.0%/21.1% and 90.2%/17.2% on groups 2–4.</w:t>
      </w:r>
      <w:r>
        <w:t xml:space="preserve"> </w:t>
      </w:r>
      <w:r>
        <w:t xml:space="preserve">Equal-cost utility was +15</w:t>
      </w:r>
      <w:r>
        <w:t xml:space="preserve">.</w:t>
      </w:r>
      <w:r>
        <w:t xml:space="preserve">8, +6</w:t>
      </w:r>
      <w:r>
        <w:t xml:space="preserve">.</w:t>
      </w:r>
      <w:r>
        <w:t xml:space="preserve">1, +60</w:t>
      </w:r>
      <w:r>
        <w:t xml:space="preserve">.</w:t>
      </w:r>
      <w:r>
        <w:t xml:space="preserve">3 and +31</w:t>
      </w:r>
      <w:r>
        <w:t xml:space="preserve">.</w:t>
      </w:r>
      <w:r>
        <w:t xml:space="preserve">0, but the group-2 fitted-pair interval was</w:t>
      </w:r>
      <w:r>
        <w:t xml:space="preserve"> </w:t>
      </w:r>
      <w:r>
        <w:t xml:space="preserve">−</w:t>
      </w:r>
      <w:r>
        <w:t xml:space="preserve">16</w:t>
      </w:r>
      <w:r>
        <w:t xml:space="preserve">.</w:t>
      </w:r>
      <w:r>
        <w:t xml:space="preserve">3 to</w:t>
      </w:r>
      <w:r>
        <w:t xml:space="preserve"> </w:t>
      </w:r>
      <w:r>
        <w:t xml:space="preserve">+28</w:t>
      </w:r>
      <w:r>
        <w:t xml:space="preserve">.</w:t>
      </w:r>
      <w:r>
        <w:t xml:space="preserve">4. The threshold is thus not transferable merely because sensor groups share a representation</w:t>
      </w:r>
      <w:r>
        <w:t xml:space="preserve"> </w:t>
      </w:r>
      <w:r>
        <w:t xml:space="preserve">size.</w:t>
      </w:r>
    </w:p>
    <w:p>
      <w:pPr>
        <w:pStyle w:val="BodyText"/>
      </w:pPr>
      <w:r>
        <w:t xml:space="preserve">Leave-one-mechanism-out conditional calibration produced mean utilities +27</w:t>
      </w:r>
      <w:r>
        <w:t xml:space="preserve">.</w:t>
      </w:r>
      <w:r>
        <w:t xml:space="preserve">9, +10</w:t>
      </w:r>
      <w:r>
        <w:t xml:space="preserve">.</w:t>
      </w:r>
      <w:r>
        <w:t xml:space="preserve">4, +1</w:t>
      </w:r>
      <w:r>
        <w:t xml:space="preserve">.</w:t>
      </w:r>
      <w:r>
        <w:t xml:space="preserve">4 and</w:t>
      </w:r>
      <w:r>
        <w:t xml:space="preserve"> </w:t>
      </w:r>
      <w:r>
        <w:t xml:space="preserve">+15</w:t>
      </w:r>
      <w:r>
        <w:t xml:space="preserve">.</w:t>
      </w:r>
      <w:r>
        <w:t xml:space="preserve">3 on Gaussian, offset, drift and stuck-at tests, respectively. Every fitted-pair interval included zero;</w:t>
      </w:r>
      <w:r>
        <w:t xml:space="preserve"> </w:t>
      </w:r>
      <w:r>
        <w:t xml:space="preserve">the drift range was</w:t>
      </w:r>
      <w:r>
        <w:t xml:space="preserve"> </w:t>
      </w:r>
      <w:r>
        <w:t xml:space="preserve">−</w:t>
      </w:r>
      <w:r>
        <w:t xml:space="preserve">41</w:t>
      </w:r>
      <w:r>
        <w:t xml:space="preserve">.</w:t>
      </w:r>
      <w:r>
        <w:t xml:space="preserve">8 to +20</w:t>
      </w:r>
      <w:r>
        <w:t xml:space="preserve">.</w:t>
      </w:r>
      <w:r>
        <w:t xml:space="preserve">9. Gaussian-only calibration and 70%-dominant calibration mixtures</w:t>
      </w:r>
      <w:r>
        <w:t xml:space="preserve"> </w:t>
      </w:r>
      <w:r>
        <w:t xml:space="preserve">likewise changed mechanism-specific prevention, retention and utility. These audits support the</w:t>
      </w:r>
      <w:r>
        <w:t xml:space="preserve"> </w:t>
      </w:r>
      <w:r>
        <w:t xml:space="preserve">prospective support gate rather than a universal selector.</w:t>
      </w:r>
    </w:p>
    <w:p>
      <w:pPr>
        <w:pStyle w:val="BodyText"/>
      </w:pPr>
      <w:r>
        <w:t xml:space="preserve">Batch composition materially changed the aggregate. The 91/165/1,180 strict observations in Batches</w:t>
      </w:r>
      <w:r>
        <w:t xml:space="preserve"> </w:t>
      </w:r>
      <w:r>
        <w:t xml:space="preserve">8/9/10 make the observation-weighted result predominantly a Batch 10 result. Frozen Lite-CF</w:t>
      </w:r>
      <w:r>
        <w:t xml:space="preserve"> </w:t>
      </w:r>
      <w:r>
        <w:t xml:space="preserve">macro-AUROC was 0.8151 overall, 0.8574 under equal batch weight, 0.8022 in the worst batch, 0.8747 in</w:t>
      </w:r>
      <w:r>
        <w:t xml:space="preserve"> </w:t>
      </w:r>
      <w:r>
        <w:t xml:space="preserve">pooled Batches 8–9 and 0.8022 in Batch 10 (Table </w:t>
      </w:r>
      <w:hyperlink w:anchor="X093cc1c4b1b5c384d21af77a3e4c6e9483c2b61">
        <w:r>
          <w:rPr>
            <w:rStyle w:val="Hyperlink"/>
          </w:rPr>
          <w:t xml:space="preserve">8</w:t>
        </w:r>
      </w:hyperlink>
      <w:r>
        <w:t xml:space="preserve">). Support-gated equal-cost utility was +7</w:t>
      </w:r>
      <w:r>
        <w:t xml:space="preserve">.</w:t>
      </w:r>
      <w:r>
        <w:t xml:space="preserve">5 overall</w:t>
      </w:r>
      <w:r>
        <w:t xml:space="preserve"> </w:t>
      </w:r>
      <w:r>
        <w:t xml:space="preserve">but</w:t>
      </w:r>
      <w:r>
        <w:t xml:space="preserve"> </w:t>
      </w:r>
      <w:r>
        <w:t xml:space="preserve">−</w:t>
      </w:r>
      <w:r>
        <w:t xml:space="preserve">2</w:t>
      </w:r>
      <w:r>
        <w:t xml:space="preserve">.</w:t>
      </w:r>
      <w:r>
        <w:t xml:space="preserve">5 in the worst batch. The complete mechanism</w:t>
      </w:r>
      <w:r>
        <w:t xml:space="preserve">×</w:t>
      </w:r>
      <w:r>
        <w:t xml:space="preserve">batch</w:t>
      </w:r>
      <w:r>
        <w:t xml:space="preserve">×</w:t>
      </w:r>
      <w:r>
        <w:t xml:space="preserve">method file reports opportunities and all</w:t>
      </w:r>
      <w:r>
        <w:t xml:space="preserve"> </w:t>
      </w:r>
      <w:r>
        <w:t xml:space="preserve">seven requested outcomes for each fitted pair.</w:t>
      </w:r>
    </w:p>
    <w:p>
      <w:pPr>
        <w:pStyle w:val="BodyText"/>
      </w:pPr>
      <w:bookmarkStart w:id="165" w:name="x1-220018"/>
      <w:bookmarkEnd w:id="165"/>
    </w:p>
    <w:p>
      <w:pPr>
        <w:pStyle w:val="ImageCaption"/>
        <w:keepNext/>
        <w:keepLines/>
      </w:pPr>
      <w:r>
        <w:t xml:space="preserve">Table 8:</w:t>
      </w:r>
      <w:r>
        <w:t xml:space="preserve"> </w:t>
      </w:r>
      <w:r>
        <w:t xml:space="preserve">Batch-aware strict-set macro-AUROC.</w:t>
      </w:r>
      <w:r>
        <w:t xml:space="preserve"> </w:t>
      </w:r>
      <w:r>
        <w:t xml:space="preserve">Overall values pool observations within each</w:t>
      </w:r>
      <w:r>
        <w:t xml:space="preserve"> </w:t>
      </w:r>
      <w:r>
        <w:t xml:space="preserve">fixed mechanism–fitted-pair cell; equal-batch values give Batches 8, 9 and 10 equal weight; worst</w:t>
      </w:r>
      <w:r>
        <w:t xml:space="preserve"> </w:t>
      </w:r>
      <w:r>
        <w:t xml:space="preserve">batch is the minimum batch mean. Batches 8–9 are pooled and compared with Batch 10. These</w:t>
      </w:r>
      <w:r>
        <w:t xml:space="preserve"> </w:t>
      </w:r>
      <w:r>
        <w:t xml:space="preserve">are summaries of one fixed instrument, not temporal-population intervals.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66" w:name="TBL-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Policy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Overall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Equal-batch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Worst batch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Batches 8–9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Batch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Always 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Always RO-PDRF-Lite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Frozen Lite-CF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Prospective support gate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All-row utility 1:1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0.8029</w:t>
                  </w:r>
                </w:p>
              </w:tc>
            </w:tr>
          </w:tbl>
          <w:bookmarkEnd w:id="166"/>
          <w:p>
            <w:pPr>
              <w:spacing w:before="0" w:after="0" w:line="240" w:lineRule="auto"/>
            </w:pPr>
          </w:p>
        </w:tc>
      </w:tr>
    </w:tbl>
    <w:bookmarkStart w:id="171" w:name="x1-220023"/>
    <w:p>
      <w:pPr>
        <w:jc w:val="center"/>
      </w:pPr>
      <w:r>
        <w:drawing>
          <wp:inline>
            <wp:extent cx="5715000" cy="5011696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elective_recovery_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1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 3:</w:t>
      </w:r>
      <w:r>
        <w:t xml:space="preserve"> </w:t>
      </w:r>
      <w:r>
        <w:t xml:space="preserve">Selective recovery as an explicit decision policy. a</w:t>
      </w:r>
      <w:r>
        <w:t xml:space="preserve">, complete fixed-test</w:t>
      </w:r>
      <w:r>
        <w:t xml:space="preserve"> </w:t>
      </w:r>
      <w:r>
        <w:t xml:space="preserve">prevention–retention curves averaged over 40 mechanism–fitted-pair cells. Curves are descriptive;</w:t>
      </w:r>
      <w:r>
        <w:t xml:space="preserve"> </w:t>
      </w:r>
      <w:r>
        <w:t xml:space="preserve">marked policies use calibration-frozen thresholds.</w:t>
      </w:r>
      <w:r>
        <w:t xml:space="preserve"> </w:t>
      </w:r>
      <w:r>
        <w:t xml:space="preserve">b</w:t>
      </w:r>
      <w:r>
        <w:t xml:space="preserve">, always-base, always-recovery, frozen</w:t>
      </w:r>
      <w:r>
        <w:t xml:space="preserve"> </w:t>
      </w:r>
      <w:r>
        <w:t xml:space="preserve">conditional, support-gated and all-row safety policies. Utilities use equal correction and harm values.</w:t>
      </w:r>
      <w:r>
        <w:t xml:space="preserve"> </w:t>
      </w:r>
      <w:r>
        <w:t xml:space="preserve">c</w:t>
      </w:r>
      <w:r>
        <w:t xml:space="preserve">, net utility under fixed-safety and calibration-selected utility thresholds. The symmetric-log axis</w:t>
      </w:r>
      <w:r>
        <w:t xml:space="preserve"> </w:t>
      </w:r>
      <w:r>
        <w:t xml:space="preserve">preserves small values while showing the failure at high harm cost.</w:t>
      </w:r>
      <w:r>
        <w:t xml:space="preserve"> </w:t>
      </w:r>
      <w:r>
        <w:t xml:space="preserve">d</w:t>
      </w:r>
      <w:r>
        <w:t xml:space="preserve">, row-normalized out-of-fold</w:t>
      </w:r>
      <w:r>
        <w:t xml:space="preserve"> </w:t>
      </w:r>
      <w:r>
        <w:t xml:space="preserve">confusion matrix for the all-row multinomial outcome. Counts pool the 10 calibration fits.</w:t>
      </w:r>
    </w:p>
    <w:bookmarkEnd w:id="171"/>
    <w:bookmarkStart w:id="176" w:name="x1-220034"/>
    <w:p>
      <w:pPr>
        <w:jc w:val="center"/>
      </w:pPr>
      <w:r>
        <w:drawing>
          <wp:inline>
            <wp:extent cx="5715000" cy="4503753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shift_batch_robust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0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 4:</w:t>
      </w:r>
      <w:r>
        <w:t xml:space="preserve"> </w:t>
      </w:r>
      <w:r>
        <w:t xml:space="preserve">Selector transport and acquisition-batch robustness. a</w:t>
      </w:r>
      <w:r>
        <w:t xml:space="preserve">, conditional-router</w:t>
      </w:r>
      <w:r>
        <w:t xml:space="preserve"> </w:t>
      </w:r>
      <w:r>
        <w:t xml:space="preserve">equal-cost utility for calibration and test severities 1–3.</w:t>
      </w:r>
      <w:r>
        <w:t xml:space="preserve"> </w:t>
      </w:r>
      <w:r>
        <w:t xml:space="preserve">b</w:t>
      </w:r>
      <w:r>
        <w:t xml:space="preserve">, prevention (solid) and retention</w:t>
      </w:r>
      <w:r>
        <w:t xml:space="preserve"> </w:t>
      </w:r>
      <w:r>
        <w:t xml:space="preserve">(dashed) after calibrating on sensor group 1 and testing groups 1–4.</w:t>
      </w:r>
      <w:r>
        <w:t xml:space="preserve"> </w:t>
      </w:r>
      <w:r>
        <w:t xml:space="preserve">c</w:t>
      </w:r>
      <w:r>
        <w:t xml:space="preserve">, macro-AUROC</w:t>
      </w:r>
      <w:r>
        <w:t xml:space="preserve"> </w:t>
      </w:r>
      <w:r>
        <w:t xml:space="preserve">under observation-weighted, equal-batch, worst-batch and Batches 8–9/Batch 10 views.</w:t>
      </w:r>
      <w:r>
        <w:t xml:space="preserve"> </w:t>
      </w:r>
      <w:r>
        <w:t xml:space="preserve">d</w:t>
      </w:r>
      <w:r>
        <w:t xml:space="preserve">,</w:t>
      </w:r>
      <w:r>
        <w:t xml:space="preserve"> </w:t>
      </w:r>
      <w:r>
        <w:t xml:space="preserve">leave-one-mechanism-out conditional-router utility; bars are means and whiskers are 95% fitted-pair</w:t>
      </w:r>
      <w:r>
        <w:t xml:space="preserve"> </w:t>
      </w:r>
      <w:r>
        <w:t xml:space="preserve">intervals across 10 endpoint fits on fixed test rows.</w:t>
      </w:r>
    </w:p>
    <w:bookmarkEnd w:id="176"/>
    <w:bookmarkEnd w:id="177"/>
    <w:bookmarkStart w:id="184" w:name="Xcd0dc3b8ec0eb85f71c87bb82dbc4853f368a63"/>
    <w:p>
      <w:pPr>
        <w:pStyle w:val="Heading4"/>
      </w:pPr>
      <w:r>
        <w:t xml:space="preserve">4.5</w:t>
      </w:r>
      <w:r>
        <w:t xml:space="preserve"> </w:t>
      </w:r>
      <w:r>
        <w:t xml:space="preserve"> </w:t>
      </w:r>
      <w:bookmarkStart w:id="178" w:name="x1-230004.5"/>
      <w:bookmarkEnd w:id="178"/>
      <w:r>
        <w:t xml:space="preserve">Sparse calibration limited selector stability</w:t>
      </w:r>
    </w:p>
    <w:p>
      <w:pPr>
        <w:pStyle w:val="FirstParagraph"/>
      </w:pPr>
      <w:r>
        <w:t xml:space="preserve">The formal Lite-CF calibration sets contained a mean of 1,861 rows, but only 89.7 were correctness</w:t>
      </w:r>
      <w:r>
        <w:t xml:space="preserve"> </w:t>
      </w:r>
      <w:r>
        <w:t xml:space="preserve">disagreements: 36.1 favoured PDRF and 53.6 favoured RO-PDRF-Lite. Frozen thresholds averaged 0.710</w:t>
      </w:r>
      <w:r>
        <w:t xml:space="preserve"> </w:t>
      </w:r>
      <w:r>
        <w:t xml:space="preserve">and ranged from 0.55 to 0.90. Across 10 repeated grouped fits per endpoint pair, mean out-of-fold</w:t>
      </w:r>
      <w:r>
        <w:t xml:space="preserve"> </w:t>
      </w:r>
      <w:r>
        <w:t xml:space="preserve">AUROC was 0.720 (standard deviation 0.138; range 0.327–0.954), and thresholds ranged from 0.525 to</w:t>
      </w:r>
      <w:r>
        <w:t xml:space="preserve"> </w:t>
      </w:r>
      <w:r>
        <w:t xml:space="preserve">0.90. Only 5/10 pairs passed the prospective support gate. The 94.7%/9.7% result remains the auditable</w:t>
      </w:r>
      <w:r>
        <w:t xml:space="preserve"> </w:t>
      </w:r>
      <w:r>
        <w:t xml:space="preserve">ungated estimate, but the gate-enforced 96.2%/6.6% result is the deployment primary because</w:t>
      </w:r>
      <w:r>
        <w:t xml:space="preserve"> </w:t>
      </w:r>
      <w:r>
        <w:t xml:space="preserve">unsupported fits are not permitted to route.</w:t>
      </w:r>
    </w:p>
    <w:p>
      <w:pPr>
        <w:pStyle w:val="BodyText"/>
      </w:pPr>
      <w:r>
        <w:t xml:space="preserve">Coefficient signs were most stable for Lite confidence (94%), base confidence (89%) and confidence</w:t>
      </w:r>
      <w:r>
        <w:t xml:space="preserve"> </w:t>
      </w:r>
      <w:r>
        <w:t xml:space="preserve">change (83%). Dominant-sign fractions for the entropy terms were 61–67%. Strong shrinkage</w:t>
      </w:r>
      <w:r>
        <w:t xml:space="preserve"> </w:t>
      </w:r>
      <w:r>
        <w:t xml:space="preserve">traded away conditional discrimination: mean out-of-fold AUROC increased from 0.690 at</w:t>
      </w:r>
      <w:r>
        <w:t xml:space="preserve"> </w:t>
      </w:r>
      <w:r>
        <w:t xml:space="preserve">C</w:t>
      </w:r>
      <w:r>
        <w:t xml:space="preserve"> </w:t>
      </w:r>
      <w:r>
        <w:t xml:space="preserve">= 0</w:t>
      </w:r>
      <w:r>
        <w:t xml:space="preserve">.</w:t>
      </w:r>
      <w:r>
        <w:t xml:space="preserve">01 to 0.717 at</w:t>
      </w:r>
      <w:r>
        <w:t xml:space="preserve"> </w:t>
      </w:r>
      <w:r>
        <w:t xml:space="preserve">C</w:t>
      </w:r>
      <w:r>
        <w:t xml:space="preserve"> </w:t>
      </w:r>
      <w:r>
        <w:t xml:space="preserve">= 0</w:t>
      </w:r>
      <w:r>
        <w:t xml:space="preserve">.</w:t>
      </w:r>
      <w:r>
        <w:t xml:space="preserve">05, 0.800 at</w:t>
      </w:r>
      <w:r>
        <w:t xml:space="preserve"> </w:t>
      </w:r>
      <w:r>
        <w:t xml:space="preserve">C</w:t>
      </w:r>
      <w:r>
        <w:t xml:space="preserve"> </w:t>
      </w:r>
      <w:r>
        <w:t xml:space="preserve">= 1 and 0.811 at</w:t>
      </w:r>
      <w:r>
        <w:t xml:space="preserve"> </w:t>
      </w:r>
      <w:r>
        <w:t xml:space="preserve">C</w:t>
      </w:r>
      <w:r>
        <w:t xml:space="preserve"> </w:t>
      </w:r>
      <w:r>
        <w:t xml:space="preserve">= 5. The prespecified</w:t>
      </w:r>
      <w:r>
        <w:t xml:space="preserve"> </w:t>
      </w:r>
      <w:r>
        <w:t xml:space="preserve">C</w:t>
      </w:r>
      <w:r>
        <w:t xml:space="preserve"> </w:t>
      </w:r>
      <w:r>
        <w:t xml:space="preserve">= 0</w:t>
      </w:r>
      <w:r>
        <w:t xml:space="preserve">.</w:t>
      </w:r>
      <w:r>
        <w:t xml:space="preserve">05 is</w:t>
      </w:r>
      <w:r>
        <w:t xml:space="preserve"> </w:t>
      </w:r>
      <w:r>
        <w:t xml:space="preserve">therefore a conservative estimation choice, not the value that maximizes calibration preference</w:t>
      </w:r>
      <w:r>
        <w:t xml:space="preserve"> </w:t>
      </w:r>
      <w:r>
        <w:t xml:space="preserve">AUROC.</w:t>
      </w:r>
    </w:p>
    <w:p>
      <w:pPr>
        <w:pStyle w:val="BodyText"/>
      </w:pPr>
      <w:r>
        <w:t xml:space="preserve">Calibration-size sensitivity showed the same boundary. Using 25%, 50%, 75% and 100%</w:t>
      </w:r>
      <w:r>
        <w:t xml:space="preserve"> </w:t>
      </w:r>
      <w:r>
        <w:t xml:space="preserve">of calibration groups produced pooled mean prevention of 88.7%, 91.6%, 92.4% and 93.9%,</w:t>
      </w:r>
      <w:r>
        <w:t xml:space="preserve"> </w:t>
      </w:r>
      <w:r>
        <w:t xml:space="preserve">respectively. Retention changed from 12.1% to 10.0%, while macro-AUROC remained near 0.81.</w:t>
      </w:r>
      <w:r>
        <w:t xml:space="preserve"> </w:t>
      </w:r>
      <w:r>
        <w:t xml:space="preserve">These are repeated-subsampling summaries and differ from the equal-weight 40-cell headline</w:t>
      </w:r>
      <w:r>
        <w:t xml:space="preserve"> </w:t>
      </w:r>
      <w:r>
        <w:t xml:space="preserve">estimand.</w:t>
      </w:r>
    </w:p>
    <w:p>
      <w:pPr>
        <w:pStyle w:val="BodyText"/>
      </w:pPr>
      <w:r>
        <w:t xml:space="preserve">Endpoint temperature scaling changed the conditional router: uncalibrated endpoint features gave</w:t>
      </w:r>
      <w:r>
        <w:t xml:space="preserve"> </w:t>
      </w:r>
      <w:r>
        <w:t xml:space="preserve">preference AUROC 0.563, prevention 95.7%, retention 6.6% and utility +10</w:t>
      </w:r>
      <w:r>
        <w:t xml:space="preserve">.</w:t>
      </w:r>
      <w:r>
        <w:t xml:space="preserve">8, compared with 0.562,</w:t>
      </w:r>
      <w:r>
        <w:t xml:space="preserve"> </w:t>
      </w:r>
      <w:r>
        <w:t xml:space="preserve">94.7%, 9.7% and +15</w:t>
      </w:r>
      <w:r>
        <w:t xml:space="preserve">.</w:t>
      </w:r>
      <w:r>
        <w:t xml:space="preserve">8 after temperature scaling. Platt calibration of the conditional score reduced</w:t>
      </w:r>
      <w:r>
        <w:t xml:space="preserve"> </w:t>
      </w:r>
      <w:r>
        <w:t xml:space="preserve">preference NLL from 0.694 to 0.689 and Brier score from 0.249 to 0.239 without changing decisions when</w:t>
      </w:r>
      <w:r>
        <w:t xml:space="preserve"> </w:t>
      </w:r>
      <w:r>
        <w:t xml:space="preserve">the frozen threshold was monotonically mapped. Isotonic calibration introduced flat regions and changed</w:t>
      </w:r>
      <w:r>
        <w:t xml:space="preserve"> </w:t>
      </w:r>
      <w:r>
        <w:t xml:space="preserve">decisions, increasing utility but reducing prevention to 82.1%; it is therefore a sensitivity, not a</w:t>
      </w:r>
      <w:r>
        <w:t xml:space="preserve"> </w:t>
      </w:r>
      <w:r>
        <w:t xml:space="preserve">replacement. Probability calibration and hard-decision selection remain separate objectives</w:t>
      </w:r>
      <w:r>
        <w:t xml:space="preserve"> </w:t>
      </w:r>
      <w:r>
        <w:t xml:space="preserve">[</w:t>
      </w:r>
      <w:hyperlink w:anchor="Xguo2017calibration">
        <w:r>
          <w:rPr>
            <w:rStyle w:val="Hyperlink"/>
          </w:rPr>
          <w:t xml:space="preserve">34</w:t>
        </w:r>
      </w:hyperlink>
      <w:r>
        <w:t xml:space="preserve">, </w:t>
      </w:r>
      <w:hyperlink w:anchor="Xkull2019dirichlet">
        <w:r>
          <w:rPr>
            <w:rStyle w:val="Hyperlink"/>
          </w:rPr>
          <w:t xml:space="preserve">39</w:t>
        </w:r>
      </w:hyperlink>
      <w:r>
        <w:t xml:space="preserve">].</w:t>
      </w:r>
    </w:p>
    <w:bookmarkStart w:id="183" w:name="x1-230015"/>
    <w:p>
      <w:pPr>
        <w:jc w:val="center"/>
      </w:pPr>
      <w:r>
        <w:drawing>
          <wp:inline>
            <wp:extent cx="5715000" cy="4692683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ee_q1_stability_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9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 5:</w:t>
      </w:r>
      <w:r>
        <w:t xml:space="preserve"> </w:t>
      </w:r>
      <w:r>
        <w:t xml:space="preserve">Selector stability and final probability quality. a</w:t>
      </w:r>
      <w:r>
        <w:t xml:space="preserve">, seed-wise out-of-fold</w:t>
      </w:r>
      <w:r>
        <w:t xml:space="preserve"> </w:t>
      </w:r>
      <w:r>
        <w:t xml:space="preserve">conditional-preference AUROC and threshold distributions across 100 repeated grouped fits.</w:t>
      </w:r>
      <w:r>
        <w:t xml:space="preserve"> </w:t>
      </w:r>
      <w:r>
        <w:t xml:space="preserve">b</w:t>
      </w:r>
      <w:r>
        <w:t xml:space="preserve">,</w:t>
      </w:r>
      <w:r>
        <w:t xml:space="preserve"> </w:t>
      </w:r>
      <w:r>
        <w:t xml:space="preserve">median standardized Lite-CF coefficient with interquartile range; percentages are dominant-sign</w:t>
      </w:r>
      <w:r>
        <w:t xml:space="preserve"> </w:t>
      </w:r>
      <w:r>
        <w:t xml:space="preserve">frequencies.</w:t>
      </w:r>
      <w:r>
        <w:t xml:space="preserve"> </w:t>
      </w:r>
      <w:r>
        <w:t xml:space="preserve">c</w:t>
      </w:r>
      <w:r>
        <w:t xml:space="preserve">, reliability curves lie predominantly below the identity line, showing substantial</w:t>
      </w:r>
      <w:r>
        <w:t xml:space="preserve"> </w:t>
      </w:r>
      <w:r>
        <w:t xml:space="preserve">overconfidence for all three outputs.</w:t>
      </w:r>
      <w:r>
        <w:t xml:space="preserve"> </w:t>
      </w:r>
      <w:r>
        <w:t xml:space="preserve">d</w:t>
      </w:r>
      <w:r>
        <w:t xml:space="preserve">, negative log-likelihood and 15-bin expected calibration error</w:t>
      </w:r>
      <w:r>
        <w:t xml:space="preserve"> </w:t>
      </w:r>
      <w:r>
        <w:t xml:space="preserve">after separating endpoint-class agreement from disagreement. Lite-CF emits one endpoint vector,</w:t>
      </w:r>
      <w:r>
        <w:t xml:space="preserve"> </w:t>
      </w:r>
      <w:r>
        <w:t xml:space="preserve">not a mixture; score-calibration controls are reported separately.</w:t>
      </w:r>
    </w:p>
    <w:bookmarkEnd w:id="183"/>
    <w:bookmarkEnd w:id="184"/>
    <w:bookmarkStart w:id="188" w:name="hydraulic-singlerig-sensitivity-boundary"/>
    <w:p>
      <w:pPr>
        <w:pStyle w:val="Heading4"/>
      </w:pPr>
      <w:r>
        <w:t xml:space="preserve">4.6</w:t>
      </w:r>
      <w:r>
        <w:t xml:space="preserve"> </w:t>
      </w:r>
      <w:r>
        <w:t xml:space="preserve"> </w:t>
      </w:r>
      <w:bookmarkStart w:id="185" w:name="x1-240004.6"/>
      <w:bookmarkEnd w:id="185"/>
      <w:r>
        <w:t xml:space="preserve">Hydraulic single-rig sensitivity boundary</w:t>
      </w:r>
    </w:p>
    <w:p>
      <w:pPr>
        <w:pStyle w:val="FirstParagraph"/>
      </w:pPr>
      <w:r>
        <w:t xml:space="preserve">The guarded hydraulic analysis used four native component-condition tasks and controlled pressure- and</w:t>
      </w:r>
      <w:r>
        <w:t xml:space="preserve"> </w:t>
      </w:r>
      <w:r>
        <w:t xml:space="preserve">vibration-group faults (Table </w:t>
      </w:r>
      <w:hyperlink w:anchor="X45e500bf76319deafd380e83f5a256d74d47ef3">
        <w:r>
          <w:rPr>
            <w:rStyle w:val="Hyperlink"/>
          </w:rPr>
          <w:t xml:space="preserve">9</w:t>
        </w:r>
      </w:hyperlink>
      <w:r>
        <w:t xml:space="preserve">). RO-PDRF-Full exceeded recovery-objective-matched RO-CAGF in six of</w:t>
      </w:r>
      <w:r>
        <w:t xml:space="preserve"> </w:t>
      </w:r>
      <w:r>
        <w:t xml:space="preserve">eight task–fault conditions. The mean difference was +0</w:t>
      </w:r>
      <w:r>
        <w:t xml:space="preserve">.</w:t>
      </w:r>
      <w:r>
        <w:t xml:space="preserve">015, but the task–fault–seed hierarchical interval</w:t>
      </w:r>
      <w:r>
        <w:t xml:space="preserve"> </w:t>
      </w:r>
      <w:r>
        <w:t xml:space="preserve">(</w:t>
      </w:r>
      <w:r>
        <w:t xml:space="preserve">−</w:t>
      </w:r>
      <w:r>
        <w:t xml:space="preserve">0</w:t>
      </w:r>
      <w:r>
        <w:t xml:space="preserve">.</w:t>
      </w:r>
      <w:r>
        <w:t xml:space="preserve">006 to +0</w:t>
      </w:r>
      <w:r>
        <w:t xml:space="preserve">.</w:t>
      </w:r>
      <w:r>
        <w:t xml:space="preserve">036) included zero. Performance ranged from near ceiling for cooler (RO-PDRF-Full</w:t>
      </w:r>
      <w:r>
        <w:t xml:space="preserve"> </w:t>
      </w:r>
      <w:r>
        <w:t xml:space="preserve">macro-AUROC 0.996) to near chance for pump and accumulator (0.528 and 0.487), limiting architecture</w:t>
      </w:r>
      <w:r>
        <w:t xml:space="preserve"> </w:t>
      </w:r>
      <w:r>
        <w:t xml:space="preserve">interpretation on the latter tasks.</w:t>
      </w:r>
    </w:p>
    <w:p>
      <w:pPr>
        <w:pStyle w:val="BodyText"/>
      </w:pPr>
      <w:r>
        <w:t xml:space="preserve">The earlier random-stratified split yielded a larger mean difference (+0</w:t>
      </w:r>
      <w:r>
        <w:t xml:space="preserve">.</w:t>
      </w:r>
      <w:r>
        <w:t xml:space="preserve">044), indicating optimistic</w:t>
      </w:r>
      <w:r>
        <w:t xml:space="preserve"> </w:t>
      </w:r>
      <w:r>
        <w:t xml:space="preserve">adjacent-cycle allocation. Guard bands reduced direct adjacency but did not create independent devices.</w:t>
      </w:r>
      <w:r>
        <w:t xml:space="preserve"> </w:t>
      </w:r>
      <w:r>
        <w:t xml:space="preserve">No-interpolation and random-split results are therefore supplementary sensitivity evidence;</w:t>
      </w:r>
      <w:r>
        <w:t xml:space="preserve"> </w:t>
      </w:r>
      <w:r>
        <w:t xml:space="preserve">the main result supports single-rig platform-internal robustness, not a general architecture</w:t>
      </w:r>
      <w:r>
        <w:t xml:space="preserve"> </w:t>
      </w:r>
      <w:r>
        <w:t xml:space="preserve">ranking.</w:t>
      </w:r>
    </w:p>
    <w:p>
      <w:pPr>
        <w:pStyle w:val="BodyText"/>
      </w:pPr>
      <w:bookmarkStart w:id="186" w:name="x1-240019"/>
      <w:bookmarkEnd w:id="186"/>
    </w:p>
    <w:p>
      <w:pPr>
        <w:pStyle w:val="ImageCaption"/>
        <w:keepNext/>
        <w:keepLines/>
      </w:pPr>
      <w:r>
        <w:t xml:space="preserve">Table 9:</w:t>
      </w:r>
      <w:r>
        <w:t xml:space="preserve"> </w:t>
      </w:r>
      <w:r>
        <w:t xml:space="preserve">Hydraulic single-rig sensitivity analysis.</w:t>
      </w:r>
      <w:r>
        <w:t xml:space="preserve"> </w:t>
      </w:r>
      <w:r>
        <w:t xml:space="preserve">Guarded-block affected-subset macro-AUROC values are means</w:t>
      </w:r>
      <w:r>
        <w:t xml:space="preserve"> </w:t>
      </w:r>
      <w:r>
        <w:t xml:space="preserve">±</w:t>
      </w:r>
      <w:r>
        <w:t xml:space="preserve"> </w:t>
      </w:r>
      <w:r>
        <w:t xml:space="preserve">standard deviations across five</w:t>
      </w:r>
      <w:r>
        <w:t xml:space="preserve"> </w:t>
      </w:r>
      <w:r>
        <w:t xml:space="preserve">matched seeds. The eight task–fault rows are conditions from one rig, not independent devices; the</w:t>
      </w:r>
      <w:r>
        <w:t xml:space="preserve"> </w:t>
      </w:r>
      <w:r>
        <w:t xml:space="preserve">earlier random-stratified results are supplementary sensitivity evidence.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87" w:name="TBL-1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Difference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+0.009</w:t>
                  </w:r>
                </w:p>
              </w:tc>
            </w:tr>
          </w:tbl>
          <w:bookmarkEnd w:id="187"/>
          <w:p>
            <w:pPr>
              <w:spacing w:before="0" w:after="0" w:line="240" w:lineRule="auto"/>
            </w:pPr>
          </w:p>
        </w:tc>
      </w:tr>
    </w:tbl>
    <w:bookmarkEnd w:id="188"/>
    <w:bookmarkStart w:id="190" w:name="ahu-directdiagnosis-boundary"/>
    <w:p>
      <w:pPr>
        <w:pStyle w:val="Heading4"/>
      </w:pPr>
      <w:r>
        <w:t xml:space="preserve">4.7</w:t>
      </w:r>
      <w:r>
        <w:t xml:space="preserve"> </w:t>
      </w:r>
      <w:r>
        <w:t xml:space="preserve"> </w:t>
      </w:r>
      <w:bookmarkStart w:id="189" w:name="x1-250004.7"/>
      <w:bookmarkEnd w:id="189"/>
      <w:r>
        <w:t xml:space="preserve">AHU direct-diagnosis boundary</w:t>
      </w:r>
    </w:p>
    <w:p>
      <w:pPr>
        <w:pStyle w:val="FirstParagraph"/>
      </w:pPr>
      <w:r>
        <w:t xml:space="preserve">The chronological air-handling-unit tests contained 37,831 untouched future-time records, including</w:t>
      </w:r>
      <w:r>
        <w:t xml:space="preserve"> </w:t>
      </w:r>
      <w:r>
        <w:t xml:space="preserve">2,069 expert-annotated temperature-sensor faults. Because the target is the fault itself and no</w:t>
      </w:r>
      <w:r>
        <w:t xml:space="preserve"> </w:t>
      </w:r>
      <w:r>
        <w:t xml:space="preserve">independent downstream state is available, this experiment cannot test whether suppressing</w:t>
      </w:r>
      <w:r>
        <w:t xml:space="preserve"> </w:t>
      </w:r>
      <w:r>
        <w:t xml:space="preserve">that sensor recovers another prediction. Early fusion exceeded bounded recovery in all 15</w:t>
      </w:r>
      <w:r>
        <w:t xml:space="preserve"> </w:t>
      </w:r>
      <w:r>
        <w:t xml:space="preserve">building–seed pairs (mean AUROC difference</w:t>
      </w:r>
      <w:r>
        <w:t xml:space="preserve"> </w:t>
      </w:r>
      <w:r>
        <w:t xml:space="preserve">−</w:t>
      </w:r>
      <w:r>
        <w:t xml:space="preserve">0</w:t>
      </w:r>
      <w:r>
        <w:t xml:space="preserve">.</w:t>
      </w:r>
      <w:r>
        <w:t xml:space="preserve">0341 for bounded recovery,</w:t>
      </w:r>
      <w:r>
        <w:t xml:space="preserve"> </w:t>
      </w:r>
      <w:r>
        <w:t xml:space="preserve">P &lt;</w:t>
      </w:r>
      <w:r>
        <w:t xml:space="preserve"> </w:t>
      </w:r>
      <w:r>
        <w:t xml:space="preserve">0</w:t>
      </w:r>
      <w:r>
        <w:t xml:space="preserve">.</w:t>
      </w:r>
      <w:r>
        <w:t xml:space="preserve">001), and</w:t>
      </w:r>
      <w:r>
        <w:t xml:space="preserve"> </w:t>
      </w:r>
      <w:r>
        <w:t xml:space="preserve">leave-one-building-out bounded recovery collapsed to 0</w:t>
      </w:r>
      <w:r>
        <w:t xml:space="preserve">.</w:t>
      </w:r>
      <w:r>
        <w:t xml:space="preserve">298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005 in the hospital. The operational</w:t>
      </w:r>
      <w:r>
        <w:t xml:space="preserve"> </w:t>
      </w:r>
      <w:r>
        <w:t xml:space="preserve">data therefore establish a direct-diagnosis and transfer boundary, not downstream recovery</w:t>
      </w:r>
      <w:r>
        <w:t xml:space="preserve"> </w:t>
      </w:r>
      <w:r>
        <w:t xml:space="preserve">validation; complete subtype, shift, adaptation and risk analyses remain in the Supplementary</w:t>
      </w:r>
      <w:r>
        <w:t xml:space="preserve"> </w:t>
      </w:r>
      <w:r>
        <w:t xml:space="preserve">Information.</w:t>
      </w:r>
    </w:p>
    <w:bookmarkEnd w:id="190"/>
    <w:bookmarkStart w:id="192" w:name="X0d59b414ce33ee4eed3884dd7ba6ae64d3cb47d"/>
    <w:p>
      <w:pPr>
        <w:pStyle w:val="Heading4"/>
      </w:pPr>
      <w:r>
        <w:t xml:space="preserve">4.8</w:t>
      </w:r>
      <w:r>
        <w:t xml:space="preserve"> </w:t>
      </w:r>
      <w:r>
        <w:t xml:space="preserve"> </w:t>
      </w:r>
      <w:bookmarkStart w:id="191" w:name="x1-260004.8"/>
      <w:bookmarkEnd w:id="191"/>
      <w:r>
        <w:t xml:space="preserve">Routed probability quality depended on endpoint agreement</w:t>
      </w:r>
    </w:p>
    <w:p>
      <w:pPr>
        <w:pStyle w:val="FirstParagraph"/>
      </w:pPr>
      <w:r>
        <w:t xml:space="preserve">Final routed probabilities were evaluated directly rather than inferred from the residual-harm rate.</w:t>
      </w:r>
      <w:r>
        <w:t xml:space="preserve"> </w:t>
      </w:r>
      <w:r>
        <w:t xml:space="preserve">Reliability curves lay predominantly below the identity line, indicating substantial overconfidence for all</w:t>
      </w:r>
      <w:r>
        <w:t xml:space="preserve"> </w:t>
      </w:r>
      <w:r>
        <w:t xml:space="preserve">methods. On strict endpoint-class agreements, Lite-CF NLL/ECE were 2.667/0.342, between PDRF</w:t>
      </w:r>
      <w:r>
        <w:t xml:space="preserve"> </w:t>
      </w:r>
      <w:r>
        <w:t xml:space="preserve">(2.821/0.349) and RO-PDRF-Lite (2.601/0.342). On disagreements, Lite-CF NLL/ECE were 2.813/0.344;</w:t>
      </w:r>
      <w:r>
        <w:t xml:space="preserve"> </w:t>
      </w:r>
      <w:r>
        <w:t xml:space="preserve">unconditional Lite was better at 2.616/0.207, whereas PDRF was worse at 2.869/0.376. The software can</w:t>
      </w:r>
      <w:r>
        <w:t xml:space="preserve"> </w:t>
      </w:r>
      <w:r>
        <w:t xml:space="preserve">expose the selected endpoint identity and conditional preference score with each probability vector.</w:t>
      </w:r>
      <w:r>
        <w:t xml:space="preserve"> </w:t>
      </w:r>
      <w:r>
        <w:t xml:space="preserve">Downstream controllers should therefore treat confidence as endpoint-specific, not as one</w:t>
      </w:r>
      <w:r>
        <w:t xml:space="preserve"> </w:t>
      </w:r>
      <w:r>
        <w:t xml:space="preserve">globally calibrated routed probability (Fig. </w:t>
      </w:r>
      <w:hyperlink w:anchor="Xb60ac2366405b56824765e3d4b1f0427f428196">
        <w:r>
          <w:rPr>
            <w:rStyle w:val="Hyperlink"/>
          </w:rPr>
          <w:t xml:space="preserve">5</w:t>
        </w:r>
      </w:hyperlink>
      <w:r>
        <w:t xml:space="preserve">c,d). Post-routing recalibration remains future</w:t>
      </w:r>
      <w:r>
        <w:t xml:space="preserve"> </w:t>
      </w:r>
      <w:r>
        <w:t xml:space="preserve">work.</w:t>
      </w:r>
    </w:p>
    <w:bookmarkEnd w:id="192"/>
    <w:bookmarkStart w:id="194" w:name="X06e9141e69ca33f8471b1bc161091592260460b"/>
    <w:p>
      <w:pPr>
        <w:pStyle w:val="Heading4"/>
      </w:pPr>
      <w:r>
        <w:t xml:space="preserve">4.9</w:t>
      </w:r>
      <w:r>
        <w:t xml:space="preserve"> </w:t>
      </w:r>
      <w:r>
        <w:t xml:space="preserve"> </w:t>
      </w:r>
      <w:bookmarkStart w:id="193" w:name="x1-270004.9"/>
      <w:bookmarkEnd w:id="193"/>
      <w:r>
        <w:t xml:space="preserve">Lite-CF reduced, but did not remove, deployment cost</w:t>
      </w:r>
    </w:p>
    <w:p>
      <w:pPr>
        <w:pStyle w:val="FirstParagraph"/>
      </w:pPr>
      <w:r>
        <w:t xml:space="preserve">PDRF and RO-PDRF-Lite each require one forward pass, 19,740 parameters and 38,528 counted</w:t>
      </w:r>
      <w:r>
        <w:t xml:space="preserve"> </w:t>
      </w:r>
      <w:r>
        <w:t xml:space="preserve">linear-layer FLOPs per observation. Lite-CF requires two passes, 39,487 parameters and 77,056</w:t>
      </w:r>
      <w:r>
        <w:t xml:space="preserve"> </w:t>
      </w:r>
      <w:r>
        <w:t xml:space="preserve">endpoint FLOPs. With 12 intra-op threads, mean seed-level median batch-one latencies were</w:t>
      </w:r>
      <w:r>
        <w:t xml:space="preserve"> </w:t>
      </w:r>
      <w:r>
        <w:t xml:space="preserve">0</w:t>
      </w:r>
      <w:r>
        <w:t xml:space="preserve">.</w:t>
      </w:r>
      <w:r>
        <w:t xml:space="preserve">602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263 ms for PDRF, 0</w:t>
      </w:r>
      <w:r>
        <w:t xml:space="preserve">.</w:t>
      </w:r>
      <w:r>
        <w:t xml:space="preserve">589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258 ms for RO-PDRF-Lite and 2</w:t>
      </w:r>
      <w:r>
        <w:t xml:space="preserve">.</w:t>
      </w:r>
      <w:r>
        <w:t xml:space="preserve">471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865 ms for Lite-CF;</w:t>
      </w:r>
      <w:r>
        <w:t xml:space="preserve"> </w:t>
      </w:r>
      <w:r>
        <w:t xml:space="preserve">complete-batch latencies were 4</w:t>
      </w:r>
      <w:r>
        <w:t xml:space="preserve">.</w:t>
      </w:r>
      <w:r>
        <w:t xml:space="preserve">12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73, 3</w:t>
      </w:r>
      <w:r>
        <w:t xml:space="preserve">.</w:t>
      </w:r>
      <w:r>
        <w:t xml:space="preserve">65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66 and 10</w:t>
      </w:r>
      <w:r>
        <w:t xml:space="preserve">.</w:t>
      </w:r>
      <w:r>
        <w:t xml:space="preserve">21</w:t>
      </w:r>
      <w:r>
        <w:t xml:space="preserve"> </w:t>
      </w:r>
      <w:r>
        <w:t xml:space="preserve">±</w:t>
      </w:r>
      <w:r>
        <w:t xml:space="preserve"> </w:t>
      </w:r>
      <w:r>
        <w:t xml:space="preserve">2</w:t>
      </w:r>
      <w:r>
        <w:t xml:space="preserve">.</w:t>
      </w:r>
      <w:r>
        <w:t xml:space="preserve">09 ms. At one intra-op thread, the</w:t>
      </w:r>
      <w:r>
        <w:t xml:space="preserve"> </w:t>
      </w:r>
      <w:r>
        <w:t xml:space="preserve">corresponding batch-one values were 0</w:t>
      </w:r>
      <w:r>
        <w:t xml:space="preserve">.</w:t>
      </w:r>
      <w:r>
        <w:t xml:space="preserve">273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090, 0</w:t>
      </w:r>
      <w:r>
        <w:t xml:space="preserve">.</w:t>
      </w:r>
      <w:r>
        <w:t xml:space="preserve">252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068 and 1</w:t>
      </w:r>
      <w:r>
        <w:t xml:space="preserve">.</w:t>
      </w:r>
      <w:r>
        <w:t xml:space="preserve">553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447 ms, and</w:t>
      </w:r>
      <w:r>
        <w:t xml:space="preserve"> </w:t>
      </w:r>
      <w:r>
        <w:t xml:space="preserve">complete-batch values were 9</w:t>
      </w:r>
      <w:r>
        <w:t xml:space="preserve">.</w:t>
      </w:r>
      <w:r>
        <w:t xml:space="preserve">35</w:t>
      </w:r>
      <w:r>
        <w:t xml:space="preserve"> </w:t>
      </w:r>
      <w:r>
        <w:t xml:space="preserve">±</w:t>
      </w:r>
      <w:r>
        <w:t xml:space="preserve"> </w:t>
      </w:r>
      <w:r>
        <w:t xml:space="preserve">1</w:t>
      </w:r>
      <w:r>
        <w:t xml:space="preserve">.</w:t>
      </w:r>
      <w:r>
        <w:t xml:space="preserve">77, 5</w:t>
      </w:r>
      <w:r>
        <w:t xml:space="preserve">.</w:t>
      </w:r>
      <w:r>
        <w:t xml:space="preserve">17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58 and 11</w:t>
      </w:r>
      <w:r>
        <w:t xml:space="preserve">.</w:t>
      </w:r>
      <w:r>
        <w:t xml:space="preserve">60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81 ms. All measurements used</w:t>
      </w:r>
      <w:r>
        <w:t xml:space="preserve"> </w:t>
      </w:r>
      <w:r>
        <w:t xml:space="preserve">the same Intel Core i5-13500H, PyTorch 2.12.1+cpu, three warm-ups and seven timed calls,</w:t>
      </w:r>
      <w:r>
        <w:t xml:space="preserve"> </w:t>
      </w:r>
      <w:r>
        <w:t xml:space="preserve">excluding loading. They do not establish embedded latency, energy efficiency or real-time</w:t>
      </w:r>
      <w:r>
        <w:t xml:space="preserve"> </w:t>
      </w:r>
      <w:r>
        <w:t xml:space="preserve">readiness.</w:t>
      </w:r>
    </w:p>
    <w:p>
      <w:pPr>
        <w:pStyle w:val="BodyText"/>
      </w:pPr>
      <w:r>
        <w:t xml:space="preserve">Event-normalized engineering cost was large. Across the 40 strict cells, the frozen router required</w:t>
      </w:r>
      <w:r>
        <w:t xml:space="preserve"> </w:t>
      </w:r>
      <w:r>
        <w:t xml:space="preserve">57,440 extra endpoint passes to produce 139 retained corrections and 91 net corrections: 413 extra passes</w:t>
      </w:r>
      <w:r>
        <w:t xml:space="preserve"> </w:t>
      </w:r>
      <w:r>
        <w:t xml:space="preserve">per retained correction and 631 per net correction. It selected recovery 29,970 times, corresponding to 216</w:t>
      </w:r>
      <w:r>
        <w:t xml:space="preserve"> </w:t>
      </w:r>
      <w:r>
        <w:t xml:space="preserve">selected rows per retained correction and 329 per net correction. The support gate reduced total extra</w:t>
      </w:r>
      <w:r>
        <w:t xml:space="preserve"> </w:t>
      </w:r>
      <w:r>
        <w:t xml:space="preserve">passes but also reduced net corrections, yielding 668 extra passes and 416 selected rows per net correction.</w:t>
      </w:r>
      <w:r>
        <w:t xml:space="preserve"> </w:t>
      </w:r>
      <w:r>
        <w:t xml:space="preserve">For batch-one timing, the routed call exceeded the sum of separately timed endpoints by 1.03 ms at one</w:t>
      </w:r>
      <w:r>
        <w:t xml:space="preserve"> </w:t>
      </w:r>
      <w:r>
        <w:t xml:space="preserve">thread and 1.28 ms at 12 threads; this residual includes feature construction, logistic scoring,</w:t>
      </w:r>
      <w:r>
        <w:t xml:space="preserve"> </w:t>
      </w:r>
      <w:r>
        <w:t xml:space="preserve">array selection and Python orchestration. Full-batch residuals were non-additive (</w:t>
      </w:r>
      <w:r>
        <w:t xml:space="preserve">−</w:t>
      </w:r>
      <w:r>
        <w:t xml:space="preserve">2</w:t>
      </w:r>
      <w:r>
        <w:t xml:space="preserve">.</w:t>
      </w:r>
      <w:r>
        <w:t xml:space="preserve">93 and</w:t>
      </w:r>
      <w:r>
        <w:t xml:space="preserve"> </w:t>
      </w:r>
      <w:r>
        <w:t xml:space="preserve">+2</w:t>
      </w:r>
      <w:r>
        <w:t xml:space="preserve">.</w:t>
      </w:r>
      <w:r>
        <w:t xml:space="preserve">45 ms), so they are reported as orchestration/timing residuals rather than pure router</w:t>
      </w:r>
      <w:r>
        <w:t xml:space="preserve"> </w:t>
      </w:r>
      <w:r>
        <w:t xml:space="preserve">latency.</w:t>
      </w:r>
    </w:p>
    <w:bookmarkEnd w:id="194"/>
    <w:bookmarkEnd w:id="195"/>
    <w:bookmarkStart w:id="197" w:name="discussion"/>
    <w:p>
      <w:pPr>
        <w:pStyle w:val="Heading3"/>
      </w:pPr>
      <w:r>
        <w:t xml:space="preserve">5</w:t>
      </w:r>
      <w:r>
        <w:t xml:space="preserve"> </w:t>
      </w:r>
      <w:r>
        <w:t xml:space="preserve"> </w:t>
      </w:r>
      <w:bookmarkStart w:id="196" w:name="x1-280005"/>
      <w:bookmarkEnd w:id="196"/>
      <w:r>
        <w:t xml:space="preserve">Discussion</w:t>
      </w:r>
    </w:p>
    <w:p>
      <w:pPr>
        <w:pStyle w:val="FirstParagraph"/>
      </w:pPr>
      <w:r>
        <w:t xml:space="preserve">The strict estimand and frozen-run discipline narrow the central interpretation. Clean-to-faulted</w:t>
      </w:r>
      <w:r>
        <w:t xml:space="preserve"> </w:t>
      </w:r>
      <w:r>
        <w:t xml:space="preserve">distillation produced a useful recovery endpoint, but the bounded response architecture alone did not</w:t>
      </w:r>
      <w:r>
        <w:t xml:space="preserve"> </w:t>
      </w:r>
      <w:r>
        <w:t xml:space="preserve">solve deployment choice. The stronger contribution is a decision protocol that distinguishes fault</w:t>
      </w:r>
      <w:r>
        <w:t xml:space="preserve"> </w:t>
      </w:r>
      <w:r>
        <w:t xml:space="preserve">assignment from an intervention that reaches an available group, measures correction and error transfer,</w:t>
      </w:r>
      <w:r>
        <w:t xml:space="preserve"> </w:t>
      </w:r>
      <w:r>
        <w:t xml:space="preserve">separates safety from utility and freezes every operating threshold before test evaluation. It should not be</w:t>
      </w:r>
      <w:r>
        <w:t xml:space="preserve"> </w:t>
      </w:r>
      <w:r>
        <w:t xml:space="preserve">read as a general theory of sensor reliability.</w:t>
      </w:r>
    </w:p>
    <w:p>
      <w:pPr>
        <w:pStyle w:val="BodyText"/>
      </w:pPr>
      <w:r>
        <w:t xml:space="preserve">Cross-fitting addresses threshold leakage, not selected-sample bias or sparse-event estimation. The</w:t>
      </w:r>
      <w:r>
        <w:t xml:space="preserve"> </w:t>
      </w:r>
      <w:r>
        <w:t xml:space="preserve">original conditional score used only 89.7 correctness disagreements on average and therefore estimated</w:t>
      </w:r>
      <w:r>
        <w:t xml:space="preserve"> </w:t>
      </w:r>
      <w:r>
        <w:t xml:space="preserve">preference conditional on disagreement. The all-row multinomial and two-stage controls target the</w:t>
      </w:r>
      <w:r>
        <w:t xml:space="preserve"> </w:t>
      </w:r>
      <w:r>
        <w:t xml:space="preserve">required deployment population, but their rare base-better and recovery-better classes remained difficult.</w:t>
      </w:r>
      <w:r>
        <w:t xml:space="preserve"> </w:t>
      </w:r>
      <w:r>
        <w:t xml:space="preserve">No test curve dominated the frozen point in both prevention and retention, while class-conditional and</w:t>
      </w:r>
      <w:r>
        <w:t xml:space="preserve"> </w:t>
      </w:r>
      <w:r>
        <w:t xml:space="preserve">margin rules obtained higher equal-cost utility only by accepting substantially more harm. The</w:t>
      </w:r>
      <w:r>
        <w:t xml:space="preserve"> </w:t>
      </w:r>
      <w:r>
        <w:t xml:space="preserve">estimand correction therefore changes what is measurable without creating a uniformly superior</w:t>
      </w:r>
      <w:r>
        <w:t xml:space="preserve"> </w:t>
      </w:r>
      <w:r>
        <w:t xml:space="preserve">router.</w:t>
      </w:r>
    </w:p>
    <w:p>
      <w:pPr>
        <w:pStyle w:val="BodyText"/>
      </w:pPr>
      <w:r>
        <w:t xml:space="preserve">The prospective support gate is central to deployment. Only 5/10 endpoint pairs passed, so the</w:t>
      </w:r>
      <w:r>
        <w:t xml:space="preserve"> </w:t>
      </w:r>
      <w:r>
        <w:t xml:space="preserve">primary policy reverted the other half to PDRF. It achieved 96.2% prevention and 6.6% retention, but its</w:t>
      </w:r>
      <w:r>
        <w:t xml:space="preserve"> </w:t>
      </w:r>
      <w:r>
        <w:t xml:space="preserve">fitted-pair utility interval crossed zero and worst-batch utility was</w:t>
      </w:r>
      <w:r>
        <w:t xml:space="preserve"> </w:t>
      </w:r>
      <w:r>
        <w:t xml:space="preserve">−</w:t>
      </w:r>
      <w:r>
        <w:t xml:space="preserve">2</w:t>
      </w:r>
      <w:r>
        <w:t xml:space="preserve">.</w:t>
      </w:r>
      <w:r>
        <w:t xml:space="preserve">5 per 10,000. A site should not</w:t>
      </w:r>
      <w:r>
        <w:t xml:space="preserve"> </w:t>
      </w:r>
      <w:r>
        <w:t xml:space="preserve">transfer coefficients or thresholds from another fitted pair; it should use the base endpoint</w:t>
      </w:r>
      <w:r>
        <w:t xml:space="preserve"> </w:t>
      </w:r>
      <w:r>
        <w:t xml:space="preserve">until local event counts, repeated discrimination and threshold stability meet the declared</w:t>
      </w:r>
      <w:r>
        <w:t xml:space="preserve"> </w:t>
      </w:r>
      <w:r>
        <w:t xml:space="preserve">gate.</w:t>
      </w:r>
    </w:p>
    <w:p>
      <w:pPr>
        <w:pStyle w:val="BodyText"/>
      </w:pPr>
      <w:r>
        <w:t xml:space="preserve">Utility-aware thresholds clarify when selection adds value. At equal event values, unconditional</w:t>
      </w:r>
      <w:r>
        <w:t xml:space="preserve"> </w:t>
      </w:r>
      <w:r>
        <w:t xml:space="preserve">recovery had the largest utility. At a two-to-one harm ratio, two-stage routing outperformed both</w:t>
      </w:r>
      <w:r>
        <w:t xml:space="preserve"> </w:t>
      </w:r>
      <w:r>
        <w:t xml:space="preserve">endpoints; at ratios of five and ten, always PDRF dominated every learned policy. No single “safe”</w:t>
      </w:r>
      <w:r>
        <w:t xml:space="preserve"> </w:t>
      </w:r>
      <w:r>
        <w:t xml:space="preserve">threshold is therefore application-independent. The values</w:t>
      </w:r>
      <w:r>
        <w:t xml:space="preserve"> </w:t>
      </w:r>
      <w:r>
        <w:t xml:space="preserve">V</w:t>
      </w:r>
      <w:r>
        <w:t xml:space="preserve"> </w:t>
      </w:r>
      <w:r>
        <w:rPr>
          <w:vertAlign w:val="subscript"/>
        </w:rPr>
        <w:t xml:space="preserve">C</w:t>
      </w:r>
      <w:r>
        <w:t xml:space="preserve">,</w:t>
      </w:r>
      <w:r>
        <w:t xml:space="preserve"> </w:t>
      </w:r>
      <w:r>
        <w:t xml:space="preserve">C</w:t>
      </w:r>
      <w:r>
        <w:rPr>
          <w:vertAlign w:val="subscript"/>
        </w:rPr>
        <w:t xml:space="preserve">H</w:t>
      </w:r>
      <w:r>
        <w:t xml:space="preserve"> </w:t>
      </w:r>
      <w:r>
        <w:t xml:space="preserve">and</w:t>
      </w:r>
      <w:r>
        <w:t xml:space="preserve"> </w:t>
      </w:r>
      <w:r>
        <w:t xml:space="preserve">λ</w:t>
      </w:r>
      <w:r>
        <w:t xml:space="preserve"> </w:t>
      </w:r>
      <w:r>
        <w:t xml:space="preserve">must be defined in operational</w:t>
      </w:r>
      <w:r>
        <w:t xml:space="preserve"> </w:t>
      </w:r>
      <w:r>
        <w:t xml:space="preserve">units—for example, avoided inspection cost, cost of a wrong control decision and compute/latency cost</w:t>
      </w:r>
      <w:r>
        <w:t xml:space="preserve"> </w:t>
      </w:r>
      <w:r>
        <w:t xml:space="preserve">converted to the same per-10,000-observation scale—before calibration. A monotone score calibration</w:t>
      </w:r>
      <w:r>
        <w:t xml:space="preserve"> </w:t>
      </w:r>
      <w:r>
        <w:t xml:space="preserve">cannot substitute for that value specification.</w:t>
      </w:r>
    </w:p>
    <w:p>
      <w:pPr>
        <w:pStyle w:val="BodyText"/>
      </w:pPr>
      <w:r>
        <w:t xml:space="preserve">The two-pass design avoids leave-one-group-out inference but stores two 19,740-parameter endpoints</w:t>
      </w:r>
      <w:r>
        <w:t xml:space="preserve"> </w:t>
      </w:r>
      <w:r>
        <w:t xml:space="preserve">(154.25 KiB in float32) and evaluates both. Pooled over the strict audit, frozen Lite-CF required</w:t>
      </w:r>
      <w:r>
        <w:t xml:space="preserve"> </w:t>
      </w:r>
      <w:r>
        <w:t xml:space="preserve">approximately 413 extra passes per retained correction and 631 per net correction; about 329 recovery</w:t>
      </w:r>
      <w:r>
        <w:t xml:space="preserve"> </w:t>
      </w:r>
      <w:r>
        <w:t xml:space="preserve">selections were required per net correction. The support gate required 668 extra passes and 416 selected</w:t>
      </w:r>
      <w:r>
        <w:t xml:space="preserve"> </w:t>
      </w:r>
      <w:r>
        <w:t xml:space="preserve">rows per net correction because unsupported fits contributed no routed gains. Batch-one orchestration</w:t>
      </w:r>
      <w:r>
        <w:t xml:space="preserve"> </w:t>
      </w:r>
      <w:r>
        <w:t xml:space="preserve">residual beyond the two separately timed endpoints was 1.03 ms at one thread and 1.28 ms</w:t>
      </w:r>
      <w:r>
        <w:t xml:space="preserve"> </w:t>
      </w:r>
      <w:r>
        <w:t xml:space="preserve">at 12 threads; the full-batch residual ranged from</w:t>
      </w:r>
      <w:r>
        <w:t xml:space="preserve"> </w:t>
      </w:r>
      <w:r>
        <w:t xml:space="preserve">−</w:t>
      </w:r>
      <w:r>
        <w:t xml:space="preserve">2</w:t>
      </w:r>
      <w:r>
        <w:t xml:space="preserve">.</w:t>
      </w:r>
      <w:r>
        <w:t xml:space="preserve">93 to +2</w:t>
      </w:r>
      <w:r>
        <w:t xml:space="preserve">.</w:t>
      </w:r>
      <w:r>
        <w:t xml:space="preserve">45 ms because independent</w:t>
      </w:r>
      <w:r>
        <w:t xml:space="preserve"> </w:t>
      </w:r>
      <w:r>
        <w:t xml:space="preserve">timings are non-additive. These workstation measurements are not embedded latency or energy</w:t>
      </w:r>
      <w:r>
        <w:t xml:space="preserve"> </w:t>
      </w:r>
      <w:r>
        <w:t xml:space="preserve">guarantees.</w:t>
      </w:r>
    </w:p>
    <w:p>
      <w:pPr>
        <w:pStyle w:val="BodyText"/>
      </w:pPr>
      <w:r>
        <w:t xml:space="preserve">Mechanism, severity, affected-group and acquisition-batch transport all changed the decision balance.</w:t>
      </w:r>
      <w:r>
        <w:t xml:space="preserve"> </w:t>
      </w:r>
      <w:r>
        <w:t xml:space="preserve">Leave-one-mechanism-out fitting intervals included zero; group-2 prevention fell to 80.8%; Batch 10</w:t>
      </w:r>
      <w:r>
        <w:t xml:space="preserve"> </w:t>
      </w:r>
      <w:r>
        <w:t xml:space="preserve">supplied 82.2% of strict observations and pulled the observation-weighted AUROC toward its lower value.</w:t>
      </w:r>
      <w:r>
        <w:t xml:space="preserve"> </w:t>
      </w:r>
      <w:r>
        <w:t xml:space="preserve">These analyses are more informative than one aggregate mean, but they still reuse one chemical</w:t>
      </w:r>
      <w:r>
        <w:t xml:space="preserve"> </w:t>
      </w:r>
      <w:r>
        <w:t xml:space="preserve">instrument and fixed rows. The fitted-pair intervals quantify optimization variation, not sampling from</w:t>
      </w:r>
      <w:r>
        <w:t xml:space="preserve"> </w:t>
      </w:r>
      <w:r>
        <w:t xml:space="preserve">devices or natural faults.</w:t>
      </w:r>
    </w:p>
    <w:p>
      <w:pPr>
        <w:pStyle w:val="BodyText"/>
      </w:pPr>
      <w:r>
        <w:t xml:space="preserve">Transfer tests define boundaries rather than confirm field recovery. The hydraulic result is single-rig</w:t>
      </w:r>
      <w:r>
        <w:t xml:space="preserve"> </w:t>
      </w:r>
      <w:r>
        <w:t xml:space="preserve">sensitivity, and its guarded architecture interval crosses zero. The AHU target is the sensor fault itself, so</w:t>
      </w:r>
      <w:r>
        <w:t xml:space="preserve"> </w:t>
      </w:r>
      <w:r>
        <w:t xml:space="preserve">diagnosis may reward signatures that recovery suppresses. A prospective study must include multiple</w:t>
      </w:r>
      <w:r>
        <w:t xml:space="preserve"> </w:t>
      </w:r>
      <w:r>
        <w:t xml:space="preserve">independently operated devices, maintenance-adjudicated sensor failures and downstream</w:t>
      </w:r>
      <w:r>
        <w:t xml:space="preserve"> </w:t>
      </w:r>
      <w:r>
        <w:t xml:space="preserve">targets that do not encode those failures. Endpoint fitting and site-specific calibration must</w:t>
      </w:r>
      <w:r>
        <w:t xml:space="preserve"> </w:t>
      </w:r>
      <w:r>
        <w:t xml:space="preserve">precede outcome analysis, with the support gate, PDRF fallback and utility values frozen in</w:t>
      </w:r>
      <w:r>
        <w:t xml:space="preserve"> </w:t>
      </w:r>
      <w:r>
        <w:t xml:space="preserve">advance.</w:t>
      </w:r>
    </w:p>
    <w:p>
      <w:pPr>
        <w:pStyle w:val="BodyText"/>
      </w:pPr>
      <w:r>
        <w:t xml:space="preserve">Further boundaries remain. Routed probabilities are overconfident and endpoint-specific; no tested</w:t>
      </w:r>
      <w:r>
        <w:t xml:space="preserve"> </w:t>
      </w:r>
      <w:r>
        <w:t xml:space="preserve">output dominates safety, ranking and calibration. Response saturation prevents device-health</w:t>
      </w:r>
      <w:r>
        <w:t xml:space="preserve"> </w:t>
      </w:r>
      <w:r>
        <w:t xml:space="preserve">interpretation, and erroneous clean teachers or quality metadata can transfer errors. Evidence</w:t>
      </w:r>
      <w:r>
        <w:t xml:space="preserve"> </w:t>
      </w:r>
      <w:r>
        <w:t xml:space="preserve">remains limited to controlled feature corruption, one chemical instrument, one hydraulic rig and</w:t>
      </w:r>
      <w:r>
        <w:t xml:space="preserve"> </w:t>
      </w:r>
      <w:r>
        <w:t xml:space="preserve">expert/rule-based AHU labels. Multi-device prospective evaluation is required before field-recovery</w:t>
      </w:r>
      <w:r>
        <w:t xml:space="preserve"> </w:t>
      </w:r>
      <w:r>
        <w:t xml:space="preserve">claims.</w:t>
      </w:r>
    </w:p>
    <w:bookmarkEnd w:id="197"/>
    <w:bookmarkStart w:id="199" w:name="conclusion"/>
    <w:p>
      <w:pPr>
        <w:pStyle w:val="Heading3"/>
      </w:pPr>
      <w:r>
        <w:t xml:space="preserve">6</w:t>
      </w:r>
      <w:r>
        <w:t xml:space="preserve"> </w:t>
      </w:r>
      <w:r>
        <w:t xml:space="preserve"> </w:t>
      </w:r>
      <w:bookmarkStart w:id="198" w:name="x1-290006"/>
      <w:bookmarkEnd w:id="198"/>
      <w:r>
        <w:t xml:space="preserve">Conclusion</w:t>
      </w:r>
    </w:p>
    <w:p>
      <w:pPr>
        <w:pStyle w:val="FirstParagraph"/>
      </w:pPr>
      <w:r>
        <w:t xml:space="preserve">Support-gated selective recovery converted a useful but fallible recovery endpoint into an explicit,</w:t>
      </w:r>
      <w:r>
        <w:t xml:space="preserve"> </w:t>
      </w:r>
      <w:r>
        <w:t xml:space="preserve">auditable deployment policy. The frozen ungated router prevented 94.7% of negative transfers while</w:t>
      </w:r>
      <w:r>
        <w:t xml:space="preserve"> </w:t>
      </w:r>
      <w:r>
        <w:t xml:space="preserve">retaining 9.7% of corrections. The prospective policy admitted only 5/10 fitted pairs and reverted the</w:t>
      </w:r>
      <w:r>
        <w:t xml:space="preserve"> </w:t>
      </w:r>
      <w:r>
        <w:t xml:space="preserve">remainder to PDRF, yielding 96.2% prevention and 6.6% retention. All-row and two-stage routers</w:t>
      </w:r>
      <w:r>
        <w:t xml:space="preserve"> </w:t>
      </w:r>
      <w:r>
        <w:t xml:space="preserve">corrected the conditional-estimand mismatch and added utility at a two-to-one harm ratio, but always</w:t>
      </w:r>
      <w:r>
        <w:t xml:space="preserve"> </w:t>
      </w:r>
      <w:r>
        <w:t xml:space="preserve">recovery was preferred at equal event values and always PDRF dominated at ratios of five or ten. Severity,</w:t>
      </w:r>
      <w:r>
        <w:t xml:space="preserve"> </w:t>
      </w:r>
      <w:r>
        <w:t xml:space="preserve">sensor-group, unseen-mechanism and batch audits showed that thresholds did not transport</w:t>
      </w:r>
      <w:r>
        <w:t xml:space="preserve"> </w:t>
      </w:r>
      <w:r>
        <w:t xml:space="preserve">uniformly. Routed probabilities remained endpoint-specific and overconfident. The contribution is a</w:t>
      </w:r>
      <w:r>
        <w:t xml:space="preserve"> </w:t>
      </w:r>
      <w:r>
        <w:t xml:space="preserve">reproducible risk-control and evaluation protocol for controlled available-group corruption,</w:t>
      </w:r>
      <w:r>
        <w:t xml:space="preserve"> </w:t>
      </w:r>
      <w:r>
        <w:t xml:space="preserve">not evidence for calibrated device health, natural-failure recovery or device-independent field</w:t>
      </w:r>
      <w:r>
        <w:t xml:space="preserve"> </w:t>
      </w:r>
      <w:r>
        <w:t xml:space="preserve">performance.</w:t>
      </w:r>
    </w:p>
    <w:bookmarkEnd w:id="199"/>
    <w:bookmarkStart w:id="204" w:name="data-and-code-availability"/>
    <w:p>
      <w:pPr>
        <w:pStyle w:val="Heading3"/>
      </w:pPr>
      <w:bookmarkStart w:id="200" w:name="x1-30000"/>
      <w:bookmarkEnd w:id="200"/>
      <w:r>
        <w:t xml:space="preserve">Data and code availability</w:t>
      </w:r>
    </w:p>
    <w:p>
      <w:pPr>
        <w:pStyle w:val="FirstParagraph"/>
      </w:pPr>
      <w:r>
        <w:t xml:space="preserve">The Gas Sensor Array Drift Dataset (DOI:</w:t>
      </w:r>
      <w:r>
        <w:t xml:space="preserve"> </w:t>
      </w:r>
      <w:hyperlink r:id="rId201">
        <w:r>
          <w:rPr>
            <w:rStyle w:val="Hyperlink"/>
          </w:rPr>
          <w:t xml:space="preserve">https://doi.org/10.24432/C5RP6W</w:t>
        </w:r>
      </w:hyperlink>
      <w:r>
        <w:t xml:space="preserve">) and Condition Monitoring</w:t>
      </w:r>
      <w:r>
        <w:t xml:space="preserve"> </w:t>
      </w:r>
      <w:r>
        <w:t xml:space="preserve">of Hydraulic Systems dataset (DOI:</w:t>
      </w:r>
      <w:r>
        <w:t xml:space="preserve"> </w:t>
      </w:r>
      <w:hyperlink r:id="rId134">
        <w:r>
          <w:rPr>
            <w:rStyle w:val="Hyperlink"/>
          </w:rPr>
          <w:t xml:space="preserve">https://doi.org/10.24432/C5CW21</w:t>
        </w:r>
      </w:hyperlink>
      <w:r>
        <w:t xml:space="preserve">) are available from the UCI</w:t>
      </w:r>
      <w:r>
        <w:t xml:space="preserve"> </w:t>
      </w:r>
      <w:r>
        <w:t xml:space="preserve">Machine Learning Repository under CC BY 4.0. The operational AHU data are available from Figshare under</w:t>
      </w:r>
      <w:r>
        <w:t xml:space="preserve"> </w:t>
      </w:r>
      <w:r>
        <w:t xml:space="preserve">CC BY 4.0 (DOI:</w:t>
      </w:r>
      <w:r>
        <w:t xml:space="preserve"> </w:t>
      </w:r>
      <w:hyperlink r:id="rId137">
        <w:r>
          <w:rPr>
            <w:rStyle w:val="Hyperlink"/>
          </w:rPr>
          <w:t xml:space="preserve">https://doi.org/10.6084/m9.figshare.27147678.v3</w:t>
        </w:r>
      </w:hyperlink>
      <w:r>
        <w:t xml:space="preserve">). Code, fixed seeds, environment</w:t>
      </w:r>
      <w:r>
        <w:t xml:space="preserve"> </w:t>
      </w:r>
      <w:r>
        <w:t xml:space="preserve">information, prediction-level source data and figure/table scripts are publicly available in the</w:t>
      </w:r>
      <w:r>
        <w:t xml:space="preserve"> </w:t>
      </w:r>
      <w:r>
        <w:t xml:space="preserve">cee_revision</w:t>
      </w:r>
      <w:r>
        <w:t xml:space="preserve"> </w:t>
      </w:r>
      <w:r>
        <w:t xml:space="preserve">directory at</w:t>
      </w:r>
      <w:r>
        <w:t xml:space="preserve"> </w:t>
      </w:r>
      <w:hyperlink r:id="rId202">
        <w:r>
          <w:rPr>
            <w:rStyle w:val="Hyperlink"/>
          </w:rPr>
          <w:t xml:space="preserve">https://github.com/Corey9999/recovery-supervision-calibrated-fallback</w:t>
        </w:r>
      </w:hyperlink>
      <w:r>
        <w:t xml:space="preserve">. The</w:t>
      </w:r>
      <w:r>
        <w:t xml:space="preserve"> </w:t>
      </w:r>
      <w:r>
        <w:t xml:space="preserve">exact computational snapshot for the all-row, utility, transport and batch audits is commit</w:t>
      </w:r>
      <w:r>
        <w:t xml:space="preserve"> </w:t>
      </w:r>
      <w:hyperlink r:id="rId203">
        <w:r>
          <w:rPr>
            <w:rStyle w:val="Hyperlink"/>
          </w:rPr>
          <w:t xml:space="preserve">f8ef1a17bdfc98377334dd9aa6903702cdc789c1</w:t>
        </w:r>
      </w:hyperlink>
      <w:r>
        <w:t xml:space="preserve">; the versioned submission release is</w:t>
      </w:r>
      <w:r>
        <w:t xml:space="preserve"> </w:t>
      </w:r>
      <w:r>
        <w:t xml:space="preserve">v1.4.0-major-router</w:t>
      </w:r>
      <w:r>
        <w:t xml:space="preserve">.</w:t>
      </w:r>
      <w:r>
        <w:t xml:space="preserve"> </w:t>
      </w:r>
      <w:r>
        <w:t xml:space="preserve">Exact dependencies are recorded in</w:t>
      </w:r>
      <w:r>
        <w:t xml:space="preserve"> </w:t>
      </w:r>
      <w:r>
        <w:t xml:space="preserve">requirements-lock.txt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environment.yml</w:t>
      </w:r>
      <w:r>
        <w:t xml:space="preserve">, and the</w:t>
      </w:r>
      <w:r>
        <w:t xml:space="preserve"> </w:t>
      </w:r>
      <w:r>
        <w:t xml:space="preserve">script-to-result manifest is Supplementary Table S1. A permanent software DOI has not been</w:t>
      </w:r>
      <w:r>
        <w:t xml:space="preserve"> </w:t>
      </w:r>
      <w:r>
        <w:t xml:space="preserve">assigned.</w:t>
      </w:r>
    </w:p>
    <w:bookmarkEnd w:id="204"/>
    <w:bookmarkStart w:id="206" w:name="ethics-statement"/>
    <w:p>
      <w:pPr>
        <w:pStyle w:val="Heading3"/>
      </w:pPr>
      <w:bookmarkStart w:id="205" w:name="x1-31000"/>
      <w:bookmarkEnd w:id="205"/>
      <w:r>
        <w:t xml:space="preserve">Ethics statement</w:t>
      </w:r>
    </w:p>
    <w:p>
      <w:pPr>
        <w:pStyle w:val="FirstParagraph"/>
      </w:pPr>
      <w:r>
        <w:t xml:space="preserve">The study used public engineering datasets and controlled computer-generated sensor corruptions. It</w:t>
      </w:r>
      <w:r>
        <w:t xml:space="preserve"> </w:t>
      </w:r>
      <w:r>
        <w:t xml:space="preserve">involved no human participants, personal data, animals or biological specimens; institutional ethics review</w:t>
      </w:r>
      <w:r>
        <w:t xml:space="preserve"> </w:t>
      </w:r>
      <w:r>
        <w:t xml:space="preserve">was not applicable.</w:t>
      </w:r>
    </w:p>
    <w:bookmarkEnd w:id="206"/>
    <w:bookmarkStart w:id="208" w:name="author-contributions"/>
    <w:p>
      <w:pPr>
        <w:pStyle w:val="Heading3"/>
      </w:pPr>
      <w:bookmarkStart w:id="207" w:name="x1-32000"/>
      <w:bookmarkEnd w:id="207"/>
      <w:r>
        <w:t xml:space="preserve">Author contributions</w:t>
      </w:r>
    </w:p>
    <w:p>
      <w:pPr>
        <w:pStyle w:val="FirstParagraph"/>
      </w:pPr>
      <w:r>
        <w:t xml:space="preserve">Riyang Luo: Conceptualization, Methodology, Software, Validation, Formal analysis, Investigation,</w:t>
      </w:r>
      <w:r>
        <w:t xml:space="preserve"> </w:t>
      </w:r>
      <w:r>
        <w:t xml:space="preserve">Data curation, Visualization, Writing–original draft, Writing–review and editing, and Project</w:t>
      </w:r>
      <w:r>
        <w:t xml:space="preserve"> </w:t>
      </w:r>
      <w:r>
        <w:t xml:space="preserve">administration.</w:t>
      </w:r>
    </w:p>
    <w:bookmarkEnd w:id="208"/>
    <w:bookmarkStart w:id="210" w:name="acknowledgements-and-funding"/>
    <w:p>
      <w:pPr>
        <w:pStyle w:val="Heading3"/>
      </w:pPr>
      <w:bookmarkStart w:id="209" w:name="x1-33000"/>
      <w:bookmarkEnd w:id="209"/>
      <w:r>
        <w:t xml:space="preserve">Acknowledgements and funding</w:t>
      </w:r>
    </w:p>
    <w:p>
      <w:pPr>
        <w:pStyle w:val="FirstParagraph"/>
      </w:pPr>
      <w:r>
        <w:t xml:space="preserve">The author received no specific funding for this work and has no acknowledgements to declare.</w:t>
      </w:r>
    </w:p>
    <w:bookmarkEnd w:id="210"/>
    <w:bookmarkStart w:id="212" w:name="declaration-of-interests"/>
    <w:p>
      <w:pPr>
        <w:pStyle w:val="Heading3"/>
      </w:pPr>
      <w:bookmarkStart w:id="211" w:name="x1-34000"/>
      <w:bookmarkEnd w:id="211"/>
      <w:r>
        <w:t xml:space="preserve">Declaration of interests</w:t>
      </w:r>
    </w:p>
    <w:p>
      <w:pPr>
        <w:pStyle w:val="FirstParagraph"/>
      </w:pPr>
      <w:r>
        <w:t xml:space="preserve">The author declares that there are no known competing financial interests or personal relationships that</w:t>
      </w:r>
      <w:r>
        <w:t xml:space="preserve"> </w:t>
      </w:r>
      <w:r>
        <w:t xml:space="preserve">could have appeared to influence the work reported in this paper.</w:t>
      </w:r>
    </w:p>
    <w:bookmarkEnd w:id="212"/>
    <w:bookmarkStart w:id="303" w:name="references"/>
    <w:p>
      <w:pPr>
        <w:pStyle w:val="Heading3"/>
      </w:pPr>
      <w:bookmarkStart w:id="213" w:name="x1-35000"/>
      <w:bookmarkEnd w:id="213"/>
      <w:r>
        <w:t xml:space="preserve">References</w:t>
      </w:r>
    </w:p>
    <w:p>
      <w:pPr>
        <w:pStyle w:val="DefinitionTerm"/>
      </w:pPr>
      <w:r>
        <w:t xml:space="preserve">[1]</w:t>
      </w:r>
    </w:p>
    <w:p>
      <w:pPr>
        <w:pStyle w:val="Definition"/>
      </w:pPr>
      <w:bookmarkStart w:id="214" w:name="Xliu2025deployment"/>
      <w:bookmarkEnd w:id="214"/>
      <w:r>
        <w:t xml:space="preserve">X. Liu, J. Zhang, S. Zhou, et al. Towards deployment-centric multimodal AI beyond</w:t>
      </w:r>
      <w:r>
        <w:t xml:space="preserve"> </w:t>
      </w:r>
      <w:r>
        <w:t xml:space="preserve">vision and language.</w:t>
      </w:r>
      <w:r>
        <w:t xml:space="preserve"> </w:t>
      </w:r>
      <w:r>
        <w:t xml:space="preserve">Nature Machine Intelligence</w:t>
      </w:r>
      <w:r>
        <w:t xml:space="preserve">, 7:1612–1624, 2025. doi: 10.1038/</w:t>
      </w:r>
      <w:r>
        <w:t xml:space="preserve"> </w:t>
      </w:r>
      <w:r>
        <w:t xml:space="preserve">s42256-025-01116-5.</w:t>
      </w:r>
    </w:p>
    <w:p>
      <w:pPr>
        <w:pStyle w:val="DefinitionTerm"/>
      </w:pPr>
      <w:r>
        <w:t xml:space="preserve">[2]</w:t>
      </w:r>
    </w:p>
    <w:p>
      <w:pPr>
        <w:pStyle w:val="Definition"/>
      </w:pPr>
      <w:bookmarkStart w:id="215" w:name="Xchakraborti2025personalized"/>
      <w:bookmarkEnd w:id="215"/>
      <w:r>
        <w:t xml:space="preserve">Tapabrata Chakraborti, Christopher R. S. Banerji, Ariane Marandon, et al. Personalized</w:t>
      </w:r>
      <w:r>
        <w:t xml:space="preserve"> </w:t>
      </w:r>
      <w:r>
        <w:t xml:space="preserve">uncertainty quantification in artificial intelligence.</w:t>
      </w:r>
      <w:r>
        <w:t xml:space="preserve"> </w:t>
      </w:r>
      <w:r>
        <w:t xml:space="preserve">Nature Machine Intelligence</w:t>
      </w:r>
      <w:r>
        <w:t xml:space="preserve">, 7:522–530,</w:t>
      </w:r>
      <w:r>
        <w:t xml:space="preserve"> </w:t>
      </w:r>
      <w:r>
        <w:t xml:space="preserve">2025. doi: 10.1038/s42256-025-01024-8.</w:t>
      </w:r>
    </w:p>
    <w:p>
      <w:pPr>
        <w:pStyle w:val="DefinitionTerm"/>
      </w:pPr>
      <w:r>
        <w:t xml:space="preserve">[3]</w:t>
      </w:r>
    </w:p>
    <w:p>
      <w:pPr>
        <w:pStyle w:val="Definition"/>
      </w:pPr>
      <w:bookmarkStart w:id="216" w:name="Xmitra2023structured"/>
      <w:bookmarkEnd w:id="216"/>
      <w:r>
        <w:t xml:space="preserve">Robin Mitra, Sarah F. McGough, Tapabrata Chakraborti, et al. Learning from data with</w:t>
      </w:r>
      <w:r>
        <w:t xml:space="preserve"> </w:t>
      </w:r>
      <w:r>
        <w:t xml:space="preserve">structured missingness.</w:t>
      </w:r>
      <w:r>
        <w:t xml:space="preserve"> </w:t>
      </w:r>
      <w:r>
        <w:t xml:space="preserve">Nature Machine Intelligence</w:t>
      </w:r>
      <w:r>
        <w:t xml:space="preserve">, 5:13–23, 2023. doi: 10.1038/</w:t>
      </w:r>
      <w:r>
        <w:t xml:space="preserve"> </w:t>
      </w:r>
      <w:r>
        <w:t xml:space="preserve">s42256-022-00596-z.</w:t>
      </w:r>
    </w:p>
    <w:p>
      <w:pPr>
        <w:pStyle w:val="DefinitionTerm"/>
      </w:pPr>
      <w:r>
        <w:t xml:space="preserve">[4]</w:t>
      </w:r>
    </w:p>
    <w:p>
      <w:pPr>
        <w:pStyle w:val="Definition"/>
      </w:pPr>
      <w:bookmarkStart w:id="217" w:name="Xwu2026survey"/>
      <w:bookmarkEnd w:id="217"/>
      <w:r>
        <w:t xml:space="preserve">Renjie Wu, Hu Wang, Hsiang-Ting Chen, and Gustavo Carneiro. Deep multimodal learning</w:t>
      </w:r>
      <w:r>
        <w:t xml:space="preserve"> </w:t>
      </w:r>
      <w:r>
        <w:t xml:space="preserve">with missing modality: A survey.</w:t>
      </w:r>
      <w:r>
        <w:t xml:space="preserve"> </w:t>
      </w:r>
      <w:r>
        <w:t xml:space="preserve">Transactions on Machine Learning Research</w:t>
      </w:r>
      <w:r>
        <w:t xml:space="preserve">, February 2026.</w:t>
      </w:r>
      <w:r>
        <w:t xml:space="preserve"> </w:t>
      </w:r>
      <w:r>
        <w:t xml:space="preserve">URL</w:t>
      </w:r>
      <w:r>
        <w:t xml:space="preserve"> </w:t>
      </w:r>
      <w:hyperlink r:id="rId218">
        <w:r>
          <w:rPr>
            <w:rStyle w:val="Hyperlink"/>
          </w:rPr>
          <w:t xml:space="preserve">https://openreview.net/forum?id=tc7RFcx4hT</w:t>
        </w:r>
      </w:hyperlink>
      <w:r>
        <w:t xml:space="preserve">.</w:t>
      </w:r>
    </w:p>
    <w:p>
      <w:pPr>
        <w:pStyle w:val="DefinitionTerm"/>
      </w:pPr>
      <w:r>
        <w:t xml:space="preserve">[5]</w:t>
      </w:r>
    </w:p>
    <w:p>
      <w:pPr>
        <w:pStyle w:val="Definition"/>
      </w:pPr>
      <w:bookmarkStart w:id="219" w:name="Xneverova2016moddrop"/>
      <w:bookmarkEnd w:id="219"/>
      <w:r>
        <w:t xml:space="preserve">Natalia Neverova, Christian Wolf, Graham Taylor, and Florian Nebout. ModDrop: Adaptive</w:t>
      </w:r>
      <w:r>
        <w:t xml:space="preserve"> </w:t>
      </w:r>
      <w:r>
        <w:t xml:space="preserve">multi-modal gesture recognition.</w:t>
      </w:r>
      <w:r>
        <w:t xml:space="preserve"> </w:t>
      </w:r>
      <w:r>
        <w:t xml:space="preserve">IEEE Transactions on Pattern Analysis and Machine</w:t>
      </w:r>
      <w:r>
        <w:t xml:space="preserve"> </w:t>
      </w:r>
      <w:r>
        <w:t xml:space="preserve">Intelligence</w:t>
      </w:r>
      <w:r>
        <w:t xml:space="preserve">, 38(8):1692–1706, 2016. doi: 10.1109/TPAMI.2015.2461544.</w:t>
      </w:r>
    </w:p>
    <w:p>
      <w:pPr>
        <w:pStyle w:val="DefinitionTerm"/>
      </w:pPr>
      <w:r>
        <w:t xml:space="preserve">[6]</w:t>
      </w:r>
    </w:p>
    <w:p>
      <w:pPr>
        <w:pStyle w:val="Definition"/>
      </w:pPr>
      <w:bookmarkStart w:id="220" w:name="Xli2024umdf"/>
      <w:bookmarkEnd w:id="220"/>
      <w:r>
        <w:t xml:space="preserve">Mingcheng Li, Dingkang Yang, Yuxuan Lei, Shunli Wang, Shuaibing Wang, Liuzhen Su, Kun</w:t>
      </w:r>
      <w:r>
        <w:t xml:space="preserve"> </w:t>
      </w:r>
      <w:r>
        <w:t xml:space="preserve">Yang, Yuzheng Wang, Mingyang Sun, and Lihua Zhang. A unified self-distillation framework</w:t>
      </w:r>
      <w:r>
        <w:t xml:space="preserve"> </w:t>
      </w:r>
      <w:r>
        <w:t xml:space="preserve">for multimodal sentiment analysis with uncertain missing modalities. In</w:t>
      </w:r>
      <w:r>
        <w:t xml:space="preserve"> </w:t>
      </w:r>
      <w:r>
        <w:t xml:space="preserve">Proceedings of</w:t>
      </w:r>
      <w:r>
        <w:t xml:space="preserve"> </w:t>
      </w:r>
      <w:r>
        <w:t xml:space="preserve">the AAAI Conference on Artificial Intelligence</w:t>
      </w:r>
      <w:r>
        <w:t xml:space="preserve">, volume 38, pages 10074–10082, 2024. doi: 10.1609/aaai.v38i9.28871.</w:t>
      </w:r>
    </w:p>
    <w:p>
      <w:pPr>
        <w:pStyle w:val="DefinitionTerm"/>
      </w:pPr>
      <w:r>
        <w:t xml:space="preserve">[7]</w:t>
      </w:r>
    </w:p>
    <w:p>
      <w:pPr>
        <w:pStyle w:val="Definition"/>
      </w:pPr>
      <w:bookmarkStart w:id="221" w:name="Xwoo2023practices"/>
      <w:bookmarkEnd w:id="221"/>
      <w:r>
        <w:t xml:space="preserve">Sangmin Woo, Sumin Lee, Yeonju Park, Muhammad Adi Nugroho, and Changick Kim.</w:t>
      </w:r>
      <w:r>
        <w:t xml:space="preserve"> </w:t>
      </w:r>
      <w:r>
        <w:t xml:space="preserve">Towards good practices for missing modality robust action recognition. In</w:t>
      </w:r>
      <w:r>
        <w:t xml:space="preserve"> </w:t>
      </w:r>
      <w:r>
        <w:t xml:space="preserve">Proceedings of</w:t>
      </w:r>
      <w:r>
        <w:t xml:space="preserve"> </w:t>
      </w:r>
      <w:r>
        <w:t xml:space="preserve">the AAAI Conference on Artificial Intelligence</w:t>
      </w:r>
      <w:r>
        <w:t xml:space="preserve">, volume 37, pages 2776–2784, 2023. doi: 10.1609/aaai.v37i3.25378.</w:t>
      </w:r>
    </w:p>
    <w:p>
      <w:pPr>
        <w:pStyle w:val="DefinitionTerm"/>
      </w:pPr>
      <w:r>
        <w:t xml:space="preserve">[8]</w:t>
      </w:r>
    </w:p>
    <w:p>
      <w:pPr>
        <w:pStyle w:val="Definition"/>
      </w:pPr>
      <w:bookmarkStart w:id="222" w:name="Xwang2024gradient"/>
      <w:bookmarkEnd w:id="222"/>
      <w:r>
        <w:t xml:space="preserve">Hao Wang, Shengda Luo, Guosheng Hu, and Jianguo Zhang. Gradient-guided modality</w:t>
      </w:r>
      <w:r>
        <w:t xml:space="preserve"> </w:t>
      </w:r>
      <w:r>
        <w:t xml:space="preserve">decoupling for missing-modality robustness. In</w:t>
      </w:r>
      <w:r>
        <w:t xml:space="preserve"> </w:t>
      </w:r>
      <w:r>
        <w:t xml:space="preserve">Proceedings of the AAAI Conference on</w:t>
      </w:r>
      <w:r>
        <w:t xml:space="preserve"> </w:t>
      </w:r>
      <w:r>
        <w:t xml:space="preserve">Artificial Intelligence</w:t>
      </w:r>
      <w:r>
        <w:t xml:space="preserve">, volume 38, pages 15483–15491, 2024. doi: 10.1609/aaai.v38i14.29474.</w:t>
      </w:r>
    </w:p>
    <w:p>
      <w:pPr>
        <w:pStyle w:val="DefinitionTerm"/>
      </w:pPr>
      <w:r>
        <w:t xml:space="preserve">[9]</w:t>
      </w:r>
    </w:p>
    <w:p>
      <w:pPr>
        <w:pStyle w:val="Definition"/>
      </w:pPr>
      <w:bookmarkStart w:id="223" w:name="Xmckinzie2023mismatch"/>
      <w:bookmarkEnd w:id="223"/>
      <w:r>
        <w:t xml:space="preserve">Brandon Mckinzie, Vaishaal Shankar, Joseph Yitan Cheng, Yinfei Yang, Jonathon Shlens,</w:t>
      </w:r>
      <w:r>
        <w:t xml:space="preserve"> </w:t>
      </w:r>
      <w:r>
        <w:t xml:space="preserve">and Alexander T. Toshev. Robustness in multimodal learning under train–test modality</w:t>
      </w:r>
      <w:r>
        <w:t xml:space="preserve"> </w:t>
      </w:r>
      <w:r>
        <w:t xml:space="preserve">mismatch. In</w:t>
      </w:r>
      <w:r>
        <w:t xml:space="preserve"> </w:t>
      </w:r>
      <w:r>
        <w:t xml:space="preserve">Proceedings of the 40th International Conference on Machine Learning</w:t>
      </w:r>
      <w:r>
        <w:t xml:space="preserve">, volume</w:t>
      </w:r>
      <w:r>
        <w:t xml:space="preserve"> </w:t>
      </w:r>
      <w:r>
        <w:t xml:space="preserve">202 of</w:t>
      </w:r>
      <w:r>
        <w:t xml:space="preserve"> </w:t>
      </w:r>
      <w:r>
        <w:t xml:space="preserve">Proceedings of Machine Learning Research</w:t>
      </w:r>
      <w:r>
        <w:t xml:space="preserve">, pages 24291–24303. PMLR, 2023. URL</w:t>
      </w:r>
      <w:r>
        <w:t xml:space="preserve"> </w:t>
      </w:r>
      <w:hyperlink r:id="rId224">
        <w:r>
          <w:rPr>
            <w:rStyle w:val="Hyperlink"/>
          </w:rPr>
          <w:t xml:space="preserve">https://proceedings.mlr.press/v202/mckinzie23a.html</w:t>
        </w:r>
      </w:hyperlink>
      <w:r>
        <w:t xml:space="preserve">.</w:t>
      </w:r>
    </w:p>
    <w:p>
      <w:pPr>
        <w:pStyle w:val="DefinitionTerm"/>
      </w:pPr>
      <w:r>
        <w:t xml:space="preserve">[10]</w:t>
      </w:r>
    </w:p>
    <w:p>
      <w:pPr>
        <w:pStyle w:val="Definition"/>
      </w:pPr>
      <w:bookmarkStart w:id="225" w:name="Xyao2024drfuse"/>
      <w:bookmarkEnd w:id="225"/>
      <w:r>
        <w:t xml:space="preserve">Wenfang Yao, Kejing Yin, William K. Cheung, Jia Liu, and Jing Qin. DrFuse: Learning</w:t>
      </w:r>
      <w:r>
        <w:t xml:space="preserve"> </w:t>
      </w:r>
      <w:r>
        <w:t xml:space="preserve">disentangled representation for clinical multi-modal fusion with missing modality and modal</w:t>
      </w:r>
      <w:r>
        <w:t xml:space="preserve"> </w:t>
      </w:r>
      <w:r>
        <w:t xml:space="preserve">inconsistency. In</w:t>
      </w:r>
      <w:r>
        <w:t xml:space="preserve"> </w:t>
      </w:r>
      <w:r>
        <w:t xml:space="preserve">Proceedings of the AAAI Conference on Artificial Intelligence</w:t>
      </w:r>
      <w:r>
        <w:t xml:space="preserve">, volume 38,</w:t>
      </w:r>
      <w:r>
        <w:t xml:space="preserve"> </w:t>
      </w:r>
      <w:r>
        <w:t xml:space="preserve">pages 16416–16424, 2024. doi: 10.1609/aaai.v38i15.29578.</w:t>
      </w:r>
    </w:p>
    <w:p>
      <w:pPr>
        <w:pStyle w:val="DefinitionTerm"/>
      </w:pPr>
      <w:r>
        <w:t xml:space="preserve">[11]</w:t>
      </w:r>
    </w:p>
    <w:p>
      <w:pPr>
        <w:pStyle w:val="Definition"/>
      </w:pPr>
      <w:bookmarkStart w:id="226" w:name="Xhuang2025mgr"/>
      <w:bookmarkEnd w:id="226"/>
      <w:r>
        <w:t xml:space="preserve">Wuliang Huang, Yiqiang Chen, Xinlong Jiang, Chenlong Gao, Teng Zhang, Qian Chen, and</w:t>
      </w:r>
      <w:r>
        <w:t xml:space="preserve"> </w:t>
      </w:r>
      <w:r>
        <w:t xml:space="preserve">Yifan Wang. Mitigating pervasive modality absence through multimodal generalization and</w:t>
      </w:r>
      <w:r>
        <w:t xml:space="preserve"> </w:t>
      </w:r>
      <w:r>
        <w:t xml:space="preserve">refinement. In</w:t>
      </w:r>
      <w:r>
        <w:t xml:space="preserve"> </w:t>
      </w:r>
      <w:r>
        <w:t xml:space="preserve">Proceedings of the AAAI Conference on Artificial Intelligence</w:t>
      </w:r>
      <w:r>
        <w:t xml:space="preserve">, volume 39, pages</w:t>
      </w:r>
      <w:r>
        <w:t xml:space="preserve"> </w:t>
      </w:r>
      <w:r>
        <w:t xml:space="preserve">26796–26804, 2025. doi: 10.1609/aaai.v39i25.34883.</w:t>
      </w:r>
    </w:p>
    <w:p>
      <w:pPr>
        <w:pStyle w:val="DefinitionTerm"/>
      </w:pPr>
      <w:r>
        <w:t xml:space="preserve">[12]</w:t>
      </w:r>
    </w:p>
    <w:p>
      <w:pPr>
        <w:pStyle w:val="Definition"/>
      </w:pPr>
      <w:bookmarkStart w:id="227" w:name="Xgao2024aleatoric"/>
      <w:bookmarkEnd w:id="227"/>
      <w:r>
        <w:t xml:space="preserve">Zixian Gao, Xun Jiang, Xing Xu, Fumin Shen, Yujie Li, and Heng Tao Shen. Embracing</w:t>
      </w:r>
      <w:r>
        <w:t xml:space="preserve"> </w:t>
      </w:r>
      <w:r>
        <w:t xml:space="preserve">unimodal aleatoric uncertainty for robust multimodal fusion. In</w:t>
      </w:r>
      <w:r>
        <w:t xml:space="preserve"> </w:t>
      </w:r>
      <w:r>
        <w:t xml:space="preserve">Proceedings of the IEEE/CVF</w:t>
      </w:r>
      <w:r>
        <w:t xml:space="preserve"> </w:t>
      </w:r>
      <w:r>
        <w:t xml:space="preserve">Conference on Computer Vision and Pattern Recognition</w:t>
      </w:r>
      <w:r>
        <w:t xml:space="preserve">, pages 26876–26885, 2024. doi: 10.1109/CVPR52733.2024.02538.</w:t>
      </w:r>
    </w:p>
    <w:p>
      <w:pPr>
        <w:pStyle w:val="DefinitionTerm"/>
      </w:pPr>
      <w:r>
        <w:t xml:space="preserve">[13]</w:t>
      </w:r>
    </w:p>
    <w:p>
      <w:pPr>
        <w:pStyle w:val="Definition"/>
      </w:pPr>
      <w:bookmarkStart w:id="228" w:name="Xcho2025cocoon"/>
      <w:bookmarkEnd w:id="228"/>
      <w:r>
        <w:t xml:space="preserve">Minkyoung Cho, Yulong Cao, Jiachen Sun, Qingzhao Zhang, Marco Pavone,</w:t>
      </w:r>
      <w:r>
        <w:t xml:space="preserve"> </w:t>
      </w:r>
      <w:r>
        <w:t xml:space="preserve">Jeong Joon Park, Heng Yang, and Zhuoqing Mao. Cocoon: Robust</w:t>
      </w:r>
      <w:r>
        <w:t xml:space="preserve"> </w:t>
      </w:r>
      <w:r>
        <w:t xml:space="preserve">multi-modal perception with uncertainty-aware sensor fusion. In</w:t>
      </w:r>
      <w:r>
        <w:t xml:space="preserve"> </w:t>
      </w:r>
      <w:r>
        <w:t xml:space="preserve">The</w:t>
      </w:r>
      <w:r>
        <w:t xml:space="preserve"> </w:t>
      </w:r>
      <w:r>
        <w:t xml:space="preserve">Thirteenth International Conference on Learning Representations</w:t>
      </w:r>
      <w:r>
        <w:t xml:space="preserve">, 2025. URL</w:t>
      </w:r>
      <w:r>
        <w:t xml:space="preserve"> </w:t>
      </w:r>
      <w:hyperlink r:id="rId229">
        <w:r>
          <w:rPr>
            <w:rStyle w:val="Hyperlink"/>
          </w:rPr>
          <w:t xml:space="preserve">https://proceedings.iclr.cc/paper_files/paper/2025/hash/6580845ce91a748a9bb09cec079aac1d-Abstract-Conference.html</w:t>
        </w:r>
      </w:hyperlink>
      <w:r>
        <w:t xml:space="preserve">.</w:t>
      </w:r>
    </w:p>
    <w:p>
      <w:pPr>
        <w:pStyle w:val="DefinitionTerm"/>
      </w:pPr>
      <w:r>
        <w:t xml:space="preserve">[14]</w:t>
      </w:r>
    </w:p>
    <w:p>
      <w:pPr>
        <w:pStyle w:val="Definition"/>
      </w:pPr>
      <w:bookmarkStart w:id="230" w:name="Xpark2025mome"/>
      <w:bookmarkEnd w:id="230"/>
      <w:r>
        <w:t xml:space="preserve">Konyul Park, Yecheol Kim, Daehun Kim, and Jun Won Choi. Resilient sensor fusion under</w:t>
      </w:r>
      <w:r>
        <w:t xml:space="preserve"> </w:t>
      </w:r>
      <w:r>
        <w:t xml:space="preserve">adverse sensor failures via multi-modal expert fusion. In</w:t>
      </w:r>
      <w:r>
        <w:t xml:space="preserve"> </w:t>
      </w:r>
      <w:r>
        <w:t xml:space="preserve">Proceedings of the IEEE/CVF</w:t>
      </w:r>
      <w:r>
        <w:t xml:space="preserve"> </w:t>
      </w:r>
      <w:r>
        <w:t xml:space="preserve">Conference on Computer Vision and Pattern Recognition</w:t>
      </w:r>
      <w:r>
        <w:t xml:space="preserve">, pages 6720–6729, 2025. doi: 10.1109/CVPR52734.2025.00630.</w:t>
      </w:r>
    </w:p>
    <w:p>
      <w:pPr>
        <w:pStyle w:val="DefinitionTerm"/>
      </w:pPr>
      <w:r>
        <w:t xml:space="preserve">[15]</w:t>
      </w:r>
    </w:p>
    <w:p>
      <w:pPr>
        <w:pStyle w:val="Definition"/>
      </w:pPr>
      <w:bookmarkStart w:id="231" w:name="Xsidheekh2025credibility"/>
      <w:bookmarkEnd w:id="231"/>
      <w:r>
        <w:t xml:space="preserve">Sahil Sidheekh, Pranuthi Tenali, Saurabh Mathur, Erik Blasch, Kristian Kersting, and</w:t>
      </w:r>
      <w:r>
        <w:t xml:space="preserve"> </w:t>
      </w:r>
      <w:r>
        <w:t xml:space="preserve">Sriraam Natarajan. Credibility-aware multimodal fusion using probabilistic circuits. In</w:t>
      </w:r>
      <w:r>
        <w:t xml:space="preserve"> </w:t>
      </w:r>
      <w:r>
        <w:t xml:space="preserve">Proceedings of the 28th International Conference on Artificial Intelligence and Statistics</w:t>
      </w:r>
      <w:r>
        <w:t xml:space="preserve">,</w:t>
      </w:r>
      <w:r>
        <w:t xml:space="preserve"> </w:t>
      </w:r>
      <w:r>
        <w:t xml:space="preserve">volume 258 of</w:t>
      </w:r>
      <w:r>
        <w:t xml:space="preserve"> </w:t>
      </w:r>
      <w:r>
        <w:t xml:space="preserve">Proceedings of Machine Learning Research</w:t>
      </w:r>
      <w:r>
        <w:t xml:space="preserve">, pages 2305–2313. PMLR, 2025. URL</w:t>
      </w:r>
      <w:r>
        <w:t xml:space="preserve"> </w:t>
      </w:r>
      <w:hyperlink r:id="rId232">
        <w:r>
          <w:rPr>
            <w:rStyle w:val="Hyperlink"/>
          </w:rPr>
          <w:t xml:space="preserve">https://proceedings.mlr.press/v258/sidheekh25a.html</w:t>
        </w:r>
      </w:hyperlink>
      <w:r>
        <w:t xml:space="preserve">.</w:t>
      </w:r>
    </w:p>
    <w:p>
      <w:pPr>
        <w:pStyle w:val="DefinitionTerm"/>
      </w:pPr>
      <w:r>
        <w:t xml:space="preserve">[16]</w:t>
      </w:r>
    </w:p>
    <w:p>
      <w:pPr>
        <w:pStyle w:val="Definition"/>
      </w:pPr>
      <w:bookmarkStart w:id="233" w:name="Xliu2025rejection"/>
      <w:bookmarkEnd w:id="233"/>
      <w:r>
        <w:t xml:space="preserve">Wei Liu, Yufei Chen, and Xiaodong Yue. Enhancing multi-view classification reliability</w:t>
      </w:r>
      <w:r>
        <w:t xml:space="preserve"> </w:t>
      </w:r>
      <w:r>
        <w:t xml:space="preserve">with adaptive rejection. In</w:t>
      </w:r>
      <w:r>
        <w:t xml:space="preserve"> </w:t>
      </w:r>
      <w:r>
        <w:t xml:space="preserve">Proceedings of the AAAI Conference on Artificial Intelligence</w:t>
      </w:r>
      <w:r>
        <w:t xml:space="preserve">,</w:t>
      </w:r>
      <w:r>
        <w:t xml:space="preserve"> </w:t>
      </w:r>
      <w:r>
        <w:t xml:space="preserve">volume 39, pages 18969–18977, 2025. doi: 10.1609/aaai.v39i18.34088.</w:t>
      </w:r>
    </w:p>
    <w:p>
      <w:pPr>
        <w:pStyle w:val="DefinitionTerm"/>
      </w:pPr>
      <w:r>
        <w:t xml:space="preserve">[17]</w:t>
      </w:r>
    </w:p>
    <w:p>
      <w:pPr>
        <w:pStyle w:val="Definition"/>
      </w:pPr>
      <w:bookmarkStart w:id="234" w:name="Xrabanser2025selective"/>
      <w:bookmarkEnd w:id="234"/>
      <w:r>
        <w:t xml:space="preserve">Stephan Rabanser, Anvith Thudi, Kimia Hamidieh, Adam Dziedzic, Israfil Bahceci,</w:t>
      </w:r>
      <w:r>
        <w:t xml:space="preserve"> </w:t>
      </w:r>
      <w:r>
        <w:t xml:space="preserve">Akram Bin Sediq, Hamza Sokun, and Nicolas Papernot. Selective prediction via</w:t>
      </w:r>
      <w:r>
        <w:t xml:space="preserve"> </w:t>
      </w:r>
      <w:r>
        <w:t xml:space="preserve">training dynamics.</w:t>
      </w:r>
      <w:r>
        <w:t xml:space="preserve"> </w:t>
      </w:r>
      <w:r>
        <w:t xml:space="preserve">Transactions on Machine Learning Research</w:t>
      </w:r>
      <w:r>
        <w:t xml:space="preserve">, 2025. URL</w:t>
      </w:r>
      <w:r>
        <w:t xml:space="preserve"> </w:t>
      </w:r>
      <w:hyperlink r:id="rId235">
        <w:r>
          <w:rPr>
            <w:rStyle w:val="Hyperlink"/>
          </w:rPr>
          <w:t xml:space="preserve">https://openreview.net/forum?id=2wgnepQjyF</w:t>
        </w:r>
      </w:hyperlink>
      <w:r>
        <w:t xml:space="preserve">.</w:t>
      </w:r>
    </w:p>
    <w:p>
      <w:pPr>
        <w:pStyle w:val="DefinitionTerm"/>
      </w:pPr>
      <w:r>
        <w:t xml:space="preserve">[18]</w:t>
      </w:r>
    </w:p>
    <w:p>
      <w:pPr>
        <w:pStyle w:val="Definition"/>
      </w:pPr>
      <w:bookmarkStart w:id="236" w:name="Xzhang2023qmf"/>
      <w:bookmarkEnd w:id="236"/>
      <w:r>
        <w:t xml:space="preserve">Qingyang Zhang, Haitao Wu, Changqing Zhang, Qinghua Hu, Huazhu Fu, Joey Tianyi</w:t>
      </w:r>
      <w:r>
        <w:t xml:space="preserve"> </w:t>
      </w:r>
      <w:r>
        <w:t xml:space="preserve">Zhou, and Xi Peng. Provable dynamic fusion for low-quality multimodal data. In</w:t>
      </w:r>
      <w:r>
        <w:t xml:space="preserve"> </w:t>
      </w:r>
      <w:r>
        <w:t xml:space="preserve">Proceedings of the 40th International Conference on Machine Learning</w:t>
      </w:r>
      <w:r>
        <w:t xml:space="preserve">, volume 202 of</w:t>
      </w:r>
      <w:r>
        <w:t xml:space="preserve"> </w:t>
      </w:r>
      <w:r>
        <w:t xml:space="preserve">Proceedings of Machine Learning Research</w:t>
      </w:r>
      <w:r>
        <w:t xml:space="preserve">, pages 41753–41769. PMLR, 2023. URL</w:t>
      </w:r>
      <w:r>
        <w:t xml:space="preserve"> </w:t>
      </w:r>
      <w:hyperlink r:id="rId237">
        <w:r>
          <w:rPr>
            <w:rStyle w:val="Hyperlink"/>
          </w:rPr>
          <w:t xml:space="preserve">https://proceedings.mlr.press/v202/zhang23ar.html</w:t>
        </w:r>
      </w:hyperlink>
      <w:r>
        <w:t xml:space="preserve">.</w:t>
      </w:r>
    </w:p>
    <w:p>
      <w:pPr>
        <w:pStyle w:val="DefinitionTerm"/>
      </w:pPr>
      <w:r>
        <w:t xml:space="preserve">[19]</w:t>
      </w:r>
    </w:p>
    <w:p>
      <w:pPr>
        <w:pStyle w:val="Definition"/>
      </w:pPr>
      <w:bookmarkStart w:id="238" w:name="Xkullaa2011distinguishing"/>
      <w:bookmarkEnd w:id="238"/>
      <w:r>
        <w:t xml:space="preserve">Jyrki Kullaa. Distinguishing between sensor fault, structural damage, and environmental or</w:t>
      </w:r>
      <w:r>
        <w:t xml:space="preserve"> </w:t>
      </w:r>
      <w:r>
        <w:t xml:space="preserve">operational effects in structural health monitoring.</w:t>
      </w:r>
      <w:r>
        <w:t xml:space="preserve"> </w:t>
      </w:r>
      <w:r>
        <w:t xml:space="preserve">Mechanical Systems and Signal Processing</w:t>
      </w:r>
      <w:r>
        <w:t xml:space="preserve">,</w:t>
      </w:r>
      <w:r>
        <w:t xml:space="preserve"> </w:t>
      </w:r>
      <w:r>
        <w:t xml:space="preserve">25(8):2976–2989, 2011. doi: 10.1016/j.ymssp.2011.05.017.</w:t>
      </w:r>
    </w:p>
    <w:p>
      <w:pPr>
        <w:pStyle w:val="DefinitionTerm"/>
      </w:pPr>
      <w:r>
        <w:t xml:space="preserve">[20]</w:t>
      </w:r>
    </w:p>
    <w:p>
      <w:pPr>
        <w:pStyle w:val="Definition"/>
      </w:pPr>
      <w:bookmarkStart w:id="239" w:name="Xkullaa2013sensor"/>
      <w:bookmarkEnd w:id="239"/>
      <w:r>
        <w:t xml:space="preserve">Jyrki Kullaa. Detection, identification, and quantification of sensor fault in a sensor network.</w:t>
      </w:r>
      <w:r>
        <w:t xml:space="preserve"> </w:t>
      </w:r>
      <w:r>
        <w:t xml:space="preserve">Mechanical Systems and Signal Processing</w:t>
      </w:r>
      <w:r>
        <w:t xml:space="preserve">, 40(1):208–221, 2013. doi: 10.1016/j.ymssp.2013.</w:t>
      </w:r>
      <w:r>
        <w:t xml:space="preserve"> </w:t>
      </w:r>
      <w:r>
        <w:t xml:space="preserve">05.007.</w:t>
      </w:r>
    </w:p>
    <w:p>
      <w:pPr>
        <w:pStyle w:val="DefinitionTerm"/>
      </w:pPr>
      <w:r>
        <w:t xml:space="preserve">[21]</w:t>
      </w:r>
    </w:p>
    <w:p>
      <w:pPr>
        <w:pStyle w:val="Definition"/>
      </w:pPr>
      <w:bookmarkStart w:id="240" w:name="Xhelwig2015sensorfault"/>
      <w:bookmarkEnd w:id="240"/>
      <w:r>
        <w:t xml:space="preserve">Nikolai Helwig, Eliseo Pignanelli, and Andreas Schütze. Detecting and compensating sensor</w:t>
      </w:r>
      <w:r>
        <w:t xml:space="preserve"> </w:t>
      </w:r>
      <w:r>
        <w:t xml:space="preserve">faults in a hydraulic condition monitoring system. In</w:t>
      </w:r>
      <w:r>
        <w:t xml:space="preserve"> </w:t>
      </w:r>
      <w:r>
        <w:t xml:space="preserve">Proceedings SENSOR 2015</w:t>
      </w:r>
      <w:r>
        <w:t xml:space="preserve">, pages</w:t>
      </w:r>
      <w:r>
        <w:t xml:space="preserve"> </w:t>
      </w:r>
      <w:r>
        <w:t xml:space="preserve">641–646, 2015. doi: 10.5162/sensor2015/D8.1.</w:t>
      </w:r>
    </w:p>
    <w:p>
      <w:pPr>
        <w:pStyle w:val="DefinitionTerm"/>
      </w:pPr>
      <w:r>
        <w:t xml:space="preserve">[22]</w:t>
      </w:r>
    </w:p>
    <w:p>
      <w:pPr>
        <w:pStyle w:val="Definition"/>
      </w:pPr>
      <w:bookmarkStart w:id="241" w:name="Xhelwig2015condition"/>
      <w:bookmarkEnd w:id="241"/>
      <w:r>
        <w:t xml:space="preserve">Nikolai Helwig, Eliseo Pignanelli, and Andreas Schütze. Condition monitoring of a complex</w:t>
      </w:r>
      <w:r>
        <w:t xml:space="preserve"> </w:t>
      </w:r>
      <w:r>
        <w:t xml:space="preserve">hydraulic system using multivariate statistics. In</w:t>
      </w:r>
      <w:r>
        <w:t xml:space="preserve"> </w:t>
      </w:r>
      <w:r>
        <w:t xml:space="preserve">2015 IEEE International Instrumentation</w:t>
      </w:r>
      <w:r>
        <w:t xml:space="preserve"> </w:t>
      </w:r>
      <w:r>
        <w:t xml:space="preserve">and Measurement Technology Conference Proceedings</w:t>
      </w:r>
      <w:r>
        <w:t xml:space="preserve">, pages 210–215, 2015. doi: 10.1109/</w:t>
      </w:r>
      <w:r>
        <w:t xml:space="preserve"> </w:t>
      </w:r>
      <w:r>
        <w:t xml:space="preserve">I2MTC.2015.7151267.</w:t>
      </w:r>
    </w:p>
    <w:p>
      <w:pPr>
        <w:pStyle w:val="DefinitionTerm"/>
      </w:pPr>
      <w:r>
        <w:t xml:space="preserve">[23]</w:t>
      </w:r>
    </w:p>
    <w:p>
      <w:pPr>
        <w:pStyle w:val="Definition"/>
      </w:pPr>
      <w:bookmarkStart w:id="242" w:name="Xma2021multirate"/>
      <w:bookmarkEnd w:id="242"/>
      <w:r>
        <w:t xml:space="preserve">Xiangkai Ma, Pei Wang, Bozhou Zhang, and Ming Sun. A multirate sensor information</w:t>
      </w:r>
      <w:r>
        <w:t xml:space="preserve"> </w:t>
      </w:r>
      <w:r>
        <w:t xml:space="preserve">fusion strategy for multitask fault diagnosis based on convolutional neural network.</w:t>
      </w:r>
      <w:r>
        <w:t xml:space="preserve"> </w:t>
      </w:r>
      <w:r>
        <w:t xml:space="preserve">Journal</w:t>
      </w:r>
      <w:r>
        <w:t xml:space="preserve"> </w:t>
      </w:r>
      <w:r>
        <w:t xml:space="preserve">of Sensors</w:t>
      </w:r>
      <w:r>
        <w:t xml:space="preserve">, 2021:9952450, 2021. doi: 10.1155/2021/9952450.</w:t>
      </w:r>
    </w:p>
    <w:p>
      <w:pPr>
        <w:pStyle w:val="DefinitionTerm"/>
      </w:pPr>
      <w:r>
        <w:t xml:space="preserve">[24]</w:t>
      </w:r>
    </w:p>
    <w:p>
      <w:pPr>
        <w:pStyle w:val="Definition"/>
      </w:pPr>
      <w:bookmarkStart w:id="243" w:name="Xkeleko2023hydraulic"/>
      <w:bookmarkEnd w:id="243"/>
      <w:r>
        <w:t xml:space="preserve">Aurelien Teguede Keleko, Bernard Kamsu-Foguem, Raymond Houe Ngouna, and Amèvi</w:t>
      </w:r>
      <w:r>
        <w:t xml:space="preserve"> </w:t>
      </w:r>
      <w:r>
        <w:t xml:space="preserve">Tongne. Health condition monitoring of a complex hydraulic system using deep neural network</w:t>
      </w:r>
      <w:r>
        <w:t xml:space="preserve"> </w:t>
      </w:r>
      <w:r>
        <w:t xml:space="preserve">and DeepSHAP explainable XAI.</w:t>
      </w:r>
      <w:r>
        <w:t xml:space="preserve"> </w:t>
      </w:r>
      <w:r>
        <w:t xml:space="preserve">Advances in Engineering Software</w:t>
      </w:r>
      <w:r>
        <w:t xml:space="preserve">, 175:103339, 2023. doi: 10.1016/j.advengsoft.2022.103339.</w:t>
      </w:r>
    </w:p>
    <w:p>
      <w:pPr>
        <w:pStyle w:val="DefinitionTerm"/>
      </w:pPr>
      <w:r>
        <w:t xml:space="preserve">[25]</w:t>
      </w:r>
    </w:p>
    <w:p>
      <w:pPr>
        <w:pStyle w:val="Definition"/>
      </w:pPr>
      <w:bookmarkStart w:id="244" w:name="Xyildirim2025hydraulic"/>
      <w:bookmarkEnd w:id="244"/>
      <w:r>
        <w:t xml:space="preserve">Cevahir Yildirim, Alba M. Franco-Pereira, and Rosa E. Lillo. Condition monitoring and</w:t>
      </w:r>
      <w:r>
        <w:t xml:space="preserve"> </w:t>
      </w:r>
      <w:r>
        <w:t xml:space="preserve">multi-fault classification of hydraulic systems using multivariate functional data analysis.</w:t>
      </w:r>
      <w:r>
        <w:t xml:space="preserve"> </w:t>
      </w:r>
      <w:r>
        <w:t xml:space="preserve">Heliyon</w:t>
      </w:r>
      <w:r>
        <w:t xml:space="preserve">, 11(1):e41251, 2025. doi: 10.1016/j.heliyon.2024.e41251.</w:t>
      </w:r>
    </w:p>
    <w:p>
      <w:pPr>
        <w:pStyle w:val="DefinitionTerm"/>
      </w:pPr>
      <w:r>
        <w:t xml:space="preserve">[26]</w:t>
      </w:r>
    </w:p>
    <w:p>
      <w:pPr>
        <w:pStyle w:val="Definition"/>
      </w:pPr>
      <w:bookmarkStart w:id="245" w:name="Xwang2025ahuoperational"/>
      <w:bookmarkEnd w:id="245"/>
      <w:r>
        <w:t xml:space="preserve">Seunghyeon Wang. Real operational labeled data of air handling units from office, auditorium,</w:t>
      </w:r>
      <w:r>
        <w:t xml:space="preserve"> </w:t>
      </w:r>
      <w:r>
        <w:t xml:space="preserve">and hospital buildings.</w:t>
      </w:r>
      <w:r>
        <w:t xml:space="preserve"> </w:t>
      </w:r>
      <w:r>
        <w:t xml:space="preserve">Scientific Data</w:t>
      </w:r>
      <w:r>
        <w:t xml:space="preserve">, 12:1481, 2025. doi: 10.1038/s41597-025-05825-9.</w:t>
      </w:r>
    </w:p>
    <w:p>
      <w:pPr>
        <w:pStyle w:val="DefinitionTerm"/>
      </w:pPr>
      <w:r>
        <w:t xml:space="preserve">[27]</w:t>
      </w:r>
    </w:p>
    <w:p>
      <w:pPr>
        <w:pStyle w:val="Definition"/>
      </w:pPr>
      <w:bookmarkStart w:id="246" w:name="Xwang2024ahudataset"/>
      <w:bookmarkEnd w:id="246"/>
      <w:r>
        <w:t xml:space="preserve">Seunghyeon Wang. Labelled dataset for FDD in different building types: auditorium, hospital,</w:t>
      </w:r>
      <w:r>
        <w:t xml:space="preserve"> </w:t>
      </w:r>
      <w:r>
        <w:t xml:space="preserve">and large-scale office. Dataset, version 3, 2024.</w:t>
      </w:r>
    </w:p>
    <w:p>
      <w:pPr>
        <w:pStyle w:val="DefinitionTerm"/>
      </w:pPr>
      <w:r>
        <w:t xml:space="preserve">[28]</w:t>
      </w:r>
    </w:p>
    <w:p>
      <w:pPr>
        <w:pStyle w:val="Definition"/>
      </w:pPr>
      <w:bookmarkStart w:id="247" w:name="Xwang2025ahutransformer"/>
      <w:bookmarkEnd w:id="247"/>
      <w:r>
        <w:t xml:space="preserve">Seunghyeon Wang. Automated fault diagnosis detection of air handling units using real</w:t>
      </w:r>
      <w:r>
        <w:t xml:space="preserve"> </w:t>
      </w:r>
      <w:r>
        <w:t xml:space="preserve">operational labelled data and transformer-based methods at 24-hour operation hospital.</w:t>
      </w:r>
      <w:r>
        <w:t xml:space="preserve"> </w:t>
      </w:r>
      <w:r>
        <w:t xml:space="preserve">Building and Environment</w:t>
      </w:r>
      <w:r>
        <w:t xml:space="preserve">, 282:113257, 2025. doi: 10.1016/j.buildenv.2025.113257.</w:t>
      </w:r>
    </w:p>
    <w:p>
      <w:pPr>
        <w:pStyle w:val="DefinitionTerm"/>
      </w:pPr>
      <w:r>
        <w:t xml:space="preserve">[29]</w:t>
      </w:r>
    </w:p>
    <w:p>
      <w:pPr>
        <w:pStyle w:val="Definition"/>
      </w:pPr>
      <w:bookmarkStart w:id="248" w:name="Xfeng2024attention"/>
      <w:bookmarkEnd w:id="248"/>
      <w:r>
        <w:t xml:space="preserve">Bowei Feng, Qizhen Zhou, Jianchun Xing, Qiliang Yang, Yin Chen, and Zhongkai Deng.</w:t>
      </w:r>
      <w:r>
        <w:t xml:space="preserve"> </w:t>
      </w:r>
      <w:r>
        <w:t xml:space="preserve">Attention-empowered transfer learning method for HVAC sensor fault diagnosis in dynamic</w:t>
      </w:r>
      <w:r>
        <w:t xml:space="preserve"> </w:t>
      </w:r>
      <w:r>
        <w:t xml:space="preserve">building environments.</w:t>
      </w:r>
      <w:r>
        <w:t xml:space="preserve"> </w:t>
      </w:r>
      <w:r>
        <w:t xml:space="preserve">Building and Environment</w:t>
      </w:r>
      <w:r>
        <w:t xml:space="preserve">, 250:111148, 2024. doi: 10.1016/j.</w:t>
      </w:r>
      <w:r>
        <w:t xml:space="preserve"> </w:t>
      </w:r>
      <w:r>
        <w:t xml:space="preserve">buildenv.2023.111148.</w:t>
      </w:r>
    </w:p>
    <w:p>
      <w:pPr>
        <w:pStyle w:val="DefinitionTerm"/>
      </w:pPr>
      <w:r>
        <w:t xml:space="preserve">[30]</w:t>
      </w:r>
    </w:p>
    <w:p>
      <w:pPr>
        <w:pStyle w:val="Definition"/>
      </w:pPr>
      <w:bookmarkStart w:id="249" w:name="Xwang2026temporal"/>
      <w:bookmarkEnd w:id="249"/>
      <w:r>
        <w:t xml:space="preserve">Seunghyeon Wang. Temporal–contextual self-supervised time-series learning for automated</w:t>
      </w:r>
      <w:r>
        <w:t xml:space="preserve"> </w:t>
      </w:r>
      <w:r>
        <w:t xml:space="preserve">fault detection and diagnosis of air handling units in buildings.</w:t>
      </w:r>
      <w:r>
        <w:t xml:space="preserve"> </w:t>
      </w:r>
      <w:r>
        <w:t xml:space="preserve">Building and Environment</w:t>
      </w:r>
      <w:r>
        <w:t xml:space="preserve">,</w:t>
      </w:r>
      <w:r>
        <w:t xml:space="preserve"> </w:t>
      </w:r>
      <w:r>
        <w:t xml:space="preserve">292:114300, 2026. doi: 10.1016/j.buildenv.2026.114300.</w:t>
      </w:r>
    </w:p>
    <w:p>
      <w:pPr>
        <w:pStyle w:val="DefinitionTerm"/>
      </w:pPr>
      <w:r>
        <w:t xml:space="preserve">[31]</w:t>
      </w:r>
    </w:p>
    <w:p>
      <w:pPr>
        <w:pStyle w:val="Definition"/>
      </w:pPr>
      <w:bookmarkStart w:id="250" w:name="Xkendall2017uncertainties"/>
      <w:bookmarkEnd w:id="250"/>
      <w:r>
        <w:t xml:space="preserve">Alex Kendall and Yarin Gal. What uncertainties do we need</w:t>
      </w:r>
      <w:r>
        <w:t xml:space="preserve"> </w:t>
      </w:r>
      <w:r>
        <w:t xml:space="preserve">in bayesian deep learning for computer vision? In</w:t>
      </w:r>
      <w:r>
        <w:t xml:space="preserve"> </w:t>
      </w:r>
      <w:r>
        <w:t xml:space="preserve">Advances in</w:t>
      </w:r>
      <w:r>
        <w:t xml:space="preserve"> </w:t>
      </w:r>
      <w:r>
        <w:t xml:space="preserve">Neural Information Processing Systems</w:t>
      </w:r>
      <w:r>
        <w:t xml:space="preserve">, volume 30, 2017. URL</w:t>
      </w:r>
      <w:r>
        <w:t xml:space="preserve"> </w:t>
      </w:r>
      <w:hyperlink r:id="rId251">
        <w:r>
          <w:rPr>
            <w:rStyle w:val="Hyperlink"/>
          </w:rPr>
          <w:t xml:space="preserve">https://proceedings.neurips.cc/paper/2017/hash/2650d6089a6d640c5e85b2b88265dc2b-Abstract.html</w:t>
        </w:r>
      </w:hyperlink>
      <w:r>
        <w:t xml:space="preserve">.</w:t>
      </w:r>
    </w:p>
    <w:p>
      <w:pPr>
        <w:pStyle w:val="DefinitionTerm"/>
      </w:pPr>
      <w:r>
        <w:t xml:space="preserve">[32]</w:t>
      </w:r>
    </w:p>
    <w:p>
      <w:pPr>
        <w:pStyle w:val="Definition"/>
      </w:pPr>
      <w:bookmarkStart w:id="252" w:name="Xhullermeier2021uncertainty"/>
      <w:bookmarkEnd w:id="252"/>
      <w:r>
        <w:t xml:space="preserve">Eyke Hüllermeier and Willem Waegeman. Aleatoric and epistemic uncertainty in machine</w:t>
      </w:r>
      <w:r>
        <w:t xml:space="preserve"> </w:t>
      </w:r>
      <w:r>
        <w:t xml:space="preserve">learning: An introduction to concepts and methods.</w:t>
      </w:r>
      <w:r>
        <w:t xml:space="preserve"> </w:t>
      </w:r>
      <w:r>
        <w:t xml:space="preserve">Machine Learning</w:t>
      </w:r>
      <w:r>
        <w:t xml:space="preserve">, 110:457–506, 2021.</w:t>
      </w:r>
      <w:r>
        <w:t xml:space="preserve"> </w:t>
      </w:r>
      <w:r>
        <w:t xml:space="preserve">doi: 10.1007/s10994-021-05946-3.</w:t>
      </w:r>
    </w:p>
    <w:p>
      <w:pPr>
        <w:pStyle w:val="DefinitionTerm"/>
      </w:pPr>
      <w:r>
        <w:t xml:space="preserve">[33]</w:t>
      </w:r>
    </w:p>
    <w:p>
      <w:pPr>
        <w:pStyle w:val="Definition"/>
      </w:pPr>
      <w:bookmarkStart w:id="253" w:name="Xlakshminarayanan2017ensembles"/>
      <w:bookmarkEnd w:id="253"/>
      <w:r>
        <w:t xml:space="preserve">Balaji Lakshminarayanan, Alexander Pritzel, and Charles Blundell. Simple</w:t>
      </w:r>
      <w:r>
        <w:t xml:space="preserve"> </w:t>
      </w:r>
      <w:r>
        <w:t xml:space="preserve">and scalable predictive uncertainty estimation using deep ensembles. In</w:t>
      </w:r>
      <w:r>
        <w:t xml:space="preserve"> </w:t>
      </w:r>
      <w:r>
        <w:t xml:space="preserve">Advances in Neural Information Processing Systems</w:t>
      </w:r>
      <w:r>
        <w:t xml:space="preserve">, volume 30, 2017. URL</w:t>
      </w:r>
      <w:r>
        <w:t xml:space="preserve"> </w:t>
      </w:r>
      <w:hyperlink r:id="rId254">
        <w:r>
          <w:rPr>
            <w:rStyle w:val="Hyperlink"/>
          </w:rPr>
          <w:t xml:space="preserve">https://proceedings.neurips.cc/paper/2017/hash/9ef2ed4b7fd2c810847ffa5fa85bce38-Abstract.html</w:t>
        </w:r>
      </w:hyperlink>
      <w:r>
        <w:t xml:space="preserve">.</w:t>
      </w:r>
    </w:p>
    <w:p>
      <w:pPr>
        <w:pStyle w:val="DefinitionTerm"/>
      </w:pPr>
      <w:r>
        <w:t xml:space="preserve">[34]</w:t>
      </w:r>
    </w:p>
    <w:p>
      <w:pPr>
        <w:pStyle w:val="Definition"/>
      </w:pPr>
      <w:bookmarkStart w:id="255" w:name="Xguo2017calibration"/>
      <w:bookmarkEnd w:id="255"/>
      <w:r>
        <w:t xml:space="preserve">Chuan Guo, Geoff Pleiss, Yu Sun, and Kilian Q. Weinberger. On calibration of modern</w:t>
      </w:r>
      <w:r>
        <w:t xml:space="preserve"> </w:t>
      </w:r>
      <w:r>
        <w:t xml:space="preserve">neural networks. In</w:t>
      </w:r>
      <w:r>
        <w:t xml:space="preserve"> </w:t>
      </w:r>
      <w:r>
        <w:t xml:space="preserve">Proceedings of the 34th International Conference on Machine Learning</w:t>
      </w:r>
      <w:r>
        <w:t xml:space="preserve">,</w:t>
      </w:r>
      <w:r>
        <w:t xml:space="preserve"> </w:t>
      </w:r>
      <w:r>
        <w:t xml:space="preserve">volume 70 of</w:t>
      </w:r>
      <w:r>
        <w:t xml:space="preserve"> </w:t>
      </w:r>
      <w:r>
        <w:t xml:space="preserve">Proceedings of Machine Learning Research</w:t>
      </w:r>
      <w:r>
        <w:t xml:space="preserve">, pages 1321–1330. PMLR, 2017. URL</w:t>
      </w:r>
      <w:r>
        <w:t xml:space="preserve"> </w:t>
      </w:r>
      <w:hyperlink r:id="rId256">
        <w:r>
          <w:rPr>
            <w:rStyle w:val="Hyperlink"/>
          </w:rPr>
          <w:t xml:space="preserve">https://proceedings.mlr.press/v70/guo17a.html</w:t>
        </w:r>
      </w:hyperlink>
      <w:r>
        <w:t xml:space="preserve">.</w:t>
      </w:r>
    </w:p>
    <w:p>
      <w:pPr>
        <w:pStyle w:val="DefinitionTerm"/>
      </w:pPr>
      <w:r>
        <w:t xml:space="preserve">[35]</w:t>
      </w:r>
    </w:p>
    <w:p>
      <w:pPr>
        <w:pStyle w:val="Definition"/>
      </w:pPr>
      <w:bookmarkStart w:id="257" w:name="Xovadia2019trust"/>
      <w:bookmarkEnd w:id="257"/>
      <w:r>
        <w:t xml:space="preserve">Yaniv Ovadia, Emily Fertig, Jie Ren, Zachary Nado, D. Sculley, Sebastian Nowozin,</w:t>
      </w:r>
      <w:r>
        <w:t xml:space="preserve"> </w:t>
      </w:r>
      <w:r>
        <w:t xml:space="preserve">Joshua V. Dillon, Balaji Lakshminarayanan, and Jasper Snoek. Can you trust</w:t>
      </w:r>
      <w:r>
        <w:t xml:space="preserve"> </w:t>
      </w:r>
      <w:r>
        <w:t xml:space="preserve">your model’s uncertainty? evaluating predictive uncertainty under dataset shift.</w:t>
      </w:r>
      <w:r>
        <w:t xml:space="preserve"> </w:t>
      </w:r>
      <w:r>
        <w:t xml:space="preserve">In</w:t>
      </w:r>
      <w:r>
        <w:t xml:space="preserve"> </w:t>
      </w:r>
      <w:r>
        <w:t xml:space="preserve">Advances in Neural Information Processing Systems</w:t>
      </w:r>
      <w:r>
        <w:t xml:space="preserve">, volume 32, 2019. URL</w:t>
      </w:r>
      <w:r>
        <w:t xml:space="preserve"> </w:t>
      </w:r>
      <w:hyperlink r:id="rId258">
        <w:r>
          <w:rPr>
            <w:rStyle w:val="Hyperlink"/>
          </w:rPr>
          <w:t xml:space="preserve">https://proceedings.neurips.cc/paper/2019/hash/8558cb408c1d76621371888657d2eb1d-Abstract.html</w:t>
        </w:r>
      </w:hyperlink>
      <w:r>
        <w:t xml:space="preserve">.</w:t>
      </w:r>
    </w:p>
    <w:p>
      <w:pPr>
        <w:pStyle w:val="DefinitionTerm"/>
      </w:pPr>
      <w:r>
        <w:t xml:space="preserve">[36]</w:t>
      </w:r>
    </w:p>
    <w:p>
      <w:pPr>
        <w:pStyle w:val="Definition"/>
      </w:pPr>
      <w:bookmarkStart w:id="259" w:name="Xminderer2021calibration"/>
      <w:bookmarkEnd w:id="259"/>
      <w:r>
        <w:t xml:space="preserve">Matthias Minderer, Josip Djolonga, Rob Romijnders, Frances Hubis,</w:t>
      </w:r>
      <w:r>
        <w:t xml:space="preserve"> </w:t>
      </w:r>
      <w:r>
        <w:t xml:space="preserve">Xiaohua Zhai, Neil Houlsby, Dustin Tran, and Mario Lucic. Revisiting</w:t>
      </w:r>
      <w:r>
        <w:t xml:space="preserve"> </w:t>
      </w:r>
      <w:r>
        <w:t xml:space="preserve">the calibration of modern neural networks. In</w:t>
      </w:r>
      <w:r>
        <w:t xml:space="preserve"> </w:t>
      </w:r>
      <w:r>
        <w:t xml:space="preserve">Advances in Neural</w:t>
      </w:r>
      <w:r>
        <w:t xml:space="preserve"> </w:t>
      </w:r>
      <w:r>
        <w:t xml:space="preserve">Information Processing Systems</w:t>
      </w:r>
      <w:r>
        <w:t xml:space="preserve">, volume 34, pages 15682–15694, 2021. URL</w:t>
      </w:r>
      <w:r>
        <w:t xml:space="preserve"> </w:t>
      </w:r>
      <w:hyperlink r:id="rId260">
        <w:r>
          <w:rPr>
            <w:rStyle w:val="Hyperlink"/>
          </w:rPr>
          <w:t xml:space="preserve">https://proceedings.neurips.cc/paper/2021/hash/8420d359404024567b5aefda1231af24-Abstract.html</w:t>
        </w:r>
      </w:hyperlink>
      <w:r>
        <w:t xml:space="preserve">.</w:t>
      </w:r>
    </w:p>
    <w:p>
      <w:pPr>
        <w:pStyle w:val="DefinitionTerm"/>
      </w:pPr>
      <w:r>
        <w:t xml:space="preserve">[37]</w:t>
      </w:r>
    </w:p>
    <w:p>
      <w:pPr>
        <w:pStyle w:val="Definition"/>
      </w:pPr>
      <w:bookmarkStart w:id="261" w:name="Xvaicenavicius2019calibration"/>
      <w:bookmarkEnd w:id="261"/>
      <w:r>
        <w:t xml:space="preserve">Juozas Vaicenavicius, David Widmann, Carl Andersson, Fredrik Lindsten, Jacob Roll,</w:t>
      </w:r>
      <w:r>
        <w:t xml:space="preserve"> </w:t>
      </w:r>
      <w:r>
        <w:t xml:space="preserve">and Thomas B. Schön. Evaluating model calibration in classification. In</w:t>
      </w:r>
      <w:r>
        <w:t xml:space="preserve"> </w:t>
      </w:r>
      <w:r>
        <w:t xml:space="preserve">Proceedings</w:t>
      </w:r>
      <w:r>
        <w:t xml:space="preserve"> </w:t>
      </w:r>
      <w:r>
        <w:t xml:space="preserve">of the Twenty-Second International Conference on Artificial Intelligence and Statistics</w:t>
      </w:r>
      <w:r>
        <w:t xml:space="preserve">,</w:t>
      </w:r>
      <w:r>
        <w:t xml:space="preserve"> </w:t>
      </w:r>
      <w:r>
        <w:t xml:space="preserve">volume 89 of</w:t>
      </w:r>
      <w:r>
        <w:t xml:space="preserve"> </w:t>
      </w:r>
      <w:r>
        <w:t xml:space="preserve">Proceedings of Machine Learning Research</w:t>
      </w:r>
      <w:r>
        <w:t xml:space="preserve">, pages 3459–3467, 2019. URL</w:t>
      </w:r>
      <w:r>
        <w:t xml:space="preserve"> </w:t>
      </w:r>
      <w:hyperlink r:id="rId262">
        <w:r>
          <w:rPr>
            <w:rStyle w:val="Hyperlink"/>
          </w:rPr>
          <w:t xml:space="preserve">https://proceedings.mlr.press/v89/vaicenavicius19a.html</w:t>
        </w:r>
      </w:hyperlink>
      <w:r>
        <w:t xml:space="preserve">.</w:t>
      </w:r>
    </w:p>
    <w:p>
      <w:pPr>
        <w:pStyle w:val="DefinitionTerm"/>
      </w:pPr>
      <w:r>
        <w:t xml:space="preserve">[38]</w:t>
      </w:r>
    </w:p>
    <w:p>
      <w:pPr>
        <w:pStyle w:val="Definition"/>
      </w:pPr>
      <w:bookmarkStart w:id="263" w:name="Xlittle2019missing"/>
      <w:bookmarkEnd w:id="263"/>
      <w:r>
        <w:t xml:space="preserve">Roderick J. A. Little and Donald B. Rubin.</w:t>
      </w:r>
      <w:r>
        <w:t xml:space="preserve"> </w:t>
      </w:r>
      <w:r>
        <w:t xml:space="preserve">Statistical Analysis with Missing Data</w:t>
      </w:r>
      <w:r>
        <w:t xml:space="preserve">. Wiley, 3</w:t>
      </w:r>
      <w:r>
        <w:t xml:space="preserve"> </w:t>
      </w:r>
      <w:r>
        <w:t xml:space="preserve">edition, 2019. doi: 10.1002/9781119482260.</w:t>
      </w:r>
    </w:p>
    <w:p>
      <w:pPr>
        <w:pStyle w:val="DefinitionTerm"/>
      </w:pPr>
      <w:r>
        <w:t xml:space="preserve">[39]</w:t>
      </w:r>
    </w:p>
    <w:p>
      <w:pPr>
        <w:pStyle w:val="Definition"/>
      </w:pPr>
      <w:bookmarkStart w:id="264" w:name="Xkull2019dirichlet"/>
      <w:bookmarkEnd w:id="264"/>
      <w:r>
        <w:t xml:space="preserve">Meelis Kull, Miquel Perello-Nieto, Markus Kängsepp, Telmo Silva Filho,</w:t>
      </w:r>
      <w:r>
        <w:t xml:space="preserve"> </w:t>
      </w:r>
      <w:r>
        <w:t xml:space="preserve">Hao Song, and Peter Flach. Beyond temperature scaling: Obtaining</w:t>
      </w:r>
      <w:r>
        <w:t xml:space="preserve"> </w:t>
      </w:r>
      <w:r>
        <w:t xml:space="preserve">well-calibrated multi-class probabilities with dirichlet calibration. In</w:t>
      </w:r>
      <w:r>
        <w:t xml:space="preserve"> </w:t>
      </w:r>
      <w:r>
        <w:t xml:space="preserve">Advances</w:t>
      </w:r>
      <w:r>
        <w:t xml:space="preserve"> </w:t>
      </w:r>
      <w:r>
        <w:t xml:space="preserve">in Neural Information Processing Systems</w:t>
      </w:r>
      <w:r>
        <w:t xml:space="preserve">, volume 32, 2019. URL</w:t>
      </w:r>
      <w:r>
        <w:t xml:space="preserve"> </w:t>
      </w:r>
      <w:hyperlink r:id="rId265">
        <w:r>
          <w:rPr>
            <w:rStyle w:val="Hyperlink"/>
          </w:rPr>
          <w:t xml:space="preserve">https://proceedings.neurips.cc/paper/2019/hash/8ca01ea920679a0fe3728441494041b9-Abstract.html</w:t>
        </w:r>
      </w:hyperlink>
      <w:r>
        <w:t xml:space="preserve">.</w:t>
      </w:r>
    </w:p>
    <w:p>
      <w:pPr>
        <w:pStyle w:val="DefinitionTerm"/>
      </w:pPr>
      <w:r>
        <w:t xml:space="preserve">[40]</w:t>
      </w:r>
    </w:p>
    <w:p>
      <w:pPr>
        <w:pStyle w:val="Definition"/>
      </w:pPr>
      <w:bookmarkStart w:id="266" w:name="Xmortier2023classifier"/>
      <w:bookmarkEnd w:id="266"/>
      <w:r>
        <w:t xml:space="preserve">Thomas Mortier, Viktor Bengs, Eyke Hullermeier, Stijn Luca, and Willem Waegeman. On the</w:t>
      </w:r>
      <w:r>
        <w:t xml:space="preserve"> </w:t>
      </w:r>
      <w:r>
        <w:t xml:space="preserve">calibration of probabilistic classifier sets. In</w:t>
      </w:r>
      <w:r>
        <w:t xml:space="preserve"> </w:t>
      </w:r>
      <w:r>
        <w:t xml:space="preserve">Proceedings of the 26th International Conference</w:t>
      </w:r>
      <w:r>
        <w:t xml:space="preserve"> </w:t>
      </w:r>
      <w:r>
        <w:t xml:space="preserve">on Artificial Intelligence and</w:t>
      </w:r>
      <w:r>
        <w:t xml:space="preserve"> </w:t>
      </w:r>
      <w:r>
        <w:t xml:space="preserve">Statistics</w:t>
      </w:r>
      <w:r>
        <w:t xml:space="preserve">, volume 206 of</w:t>
      </w:r>
      <w:r>
        <w:t xml:space="preserve"> </w:t>
      </w:r>
      <w:r>
        <w:t xml:space="preserve">Proceedings of Machine Learning Research</w:t>
      </w:r>
      <w:r>
        <w:t xml:space="preserve">, pages 8857–8870, 2023.</w:t>
      </w:r>
      <w:r>
        <w:t xml:space="preserve"> </w:t>
      </w:r>
      <w:r>
        <w:t xml:space="preserve">URL</w:t>
      </w:r>
      <w:r>
        <w:t xml:space="preserve"> </w:t>
      </w:r>
      <w:hyperlink r:id="rId267">
        <w:r>
          <w:rPr>
            <w:rStyle w:val="Hyperlink"/>
          </w:rPr>
          <w:t xml:space="preserve">https://proceedings.mlr.press/v206/mortier23a.html</w:t>
        </w:r>
      </w:hyperlink>
      <w:r>
        <w:t xml:space="preserve">.</w:t>
      </w:r>
    </w:p>
    <w:p>
      <w:pPr>
        <w:pStyle w:val="DefinitionTerm"/>
      </w:pPr>
      <w:r>
        <w:t xml:space="preserve">[41]</w:t>
      </w:r>
    </w:p>
    <w:p>
      <w:pPr>
        <w:pStyle w:val="Definition"/>
      </w:pPr>
      <w:bookmarkStart w:id="268" w:name="Xpodkopaev2021distribution"/>
      <w:bookmarkEnd w:id="268"/>
      <w:r>
        <w:t xml:space="preserve">Aleksandr Podkopaev and Aaditya Ramdas. Distribution-free uncertainty quantification for</w:t>
      </w:r>
      <w:r>
        <w:t xml:space="preserve"> </w:t>
      </w:r>
      <w:r>
        <w:t xml:space="preserve">classification under label shift. In</w:t>
      </w:r>
      <w:r>
        <w:t xml:space="preserve"> </w:t>
      </w:r>
      <w:r>
        <w:t xml:space="preserve">Proceedings of the Thirty-Seventh Conference on Uncertainty</w:t>
      </w:r>
      <w:r>
        <w:t xml:space="preserve"> </w:t>
      </w:r>
      <w:r>
        <w:t xml:space="preserve">in Artificial Intelligence</w:t>
      </w:r>
      <w:r>
        <w:t xml:space="preserve">, volume 161 of</w:t>
      </w:r>
      <w:r>
        <w:t xml:space="preserve"> </w:t>
      </w:r>
      <w:r>
        <w:t xml:space="preserve">Proceedings of Machine Learning Research</w:t>
      </w:r>
      <w:r>
        <w:t xml:space="preserve">, pages</w:t>
      </w:r>
      <w:r>
        <w:t xml:space="preserve"> </w:t>
      </w:r>
      <w:r>
        <w:t xml:space="preserve">844–853, 2021. URL</w:t>
      </w:r>
      <w:r>
        <w:t xml:space="preserve"> </w:t>
      </w:r>
      <w:hyperlink r:id="rId269">
        <w:r>
          <w:rPr>
            <w:rStyle w:val="Hyperlink"/>
          </w:rPr>
          <w:t xml:space="preserve">https://proceedings.mlr.press/v161/podkopaev21a.html</w:t>
        </w:r>
      </w:hyperlink>
      <w:r>
        <w:t xml:space="preserve">.</w:t>
      </w:r>
    </w:p>
    <w:p>
      <w:pPr>
        <w:pStyle w:val="DefinitionTerm"/>
      </w:pPr>
      <w:r>
        <w:t xml:space="preserve">[42]</w:t>
      </w:r>
    </w:p>
    <w:p>
      <w:pPr>
        <w:pStyle w:val="Definition"/>
      </w:pPr>
      <w:bookmarkStart w:id="270" w:name="Xsun2016coral"/>
      <w:bookmarkEnd w:id="270"/>
      <w:r>
        <w:t xml:space="preserve">Baochen Sun, Jiashi Feng, and Kate Saenko. Return of frustratingly easy domain adaptation.</w:t>
      </w:r>
      <w:r>
        <w:t xml:space="preserve"> </w:t>
      </w:r>
      <w:r>
        <w:t xml:space="preserve">In</w:t>
      </w:r>
      <w:r>
        <w:t xml:space="preserve"> </w:t>
      </w:r>
      <w:r>
        <w:t xml:space="preserve">Proceedings of the AAAI Conference on Artificial Intelligence</w:t>
      </w:r>
      <w:r>
        <w:t xml:space="preserve">, volume 30, pages 2058–2065,</w:t>
      </w:r>
      <w:r>
        <w:t xml:space="preserve"> </w:t>
      </w:r>
      <w:r>
        <w:t xml:space="preserve">2016. doi: 10.1609/aaai.v30i1.10306.</w:t>
      </w:r>
    </w:p>
    <w:p>
      <w:pPr>
        <w:pStyle w:val="DefinitionTerm"/>
      </w:pPr>
      <w:r>
        <w:t xml:space="preserve">[43]</w:t>
      </w:r>
    </w:p>
    <w:p>
      <w:pPr>
        <w:pStyle w:val="Definition"/>
      </w:pPr>
      <w:bookmarkStart w:id="271" w:name="Xsagawa2020groupdro"/>
      <w:bookmarkEnd w:id="271"/>
      <w:r>
        <w:t xml:space="preserve">Shiori Sagawa, Pang Wei Koh, Tatsunori B. Hashimoto, and Percy Liang. Distributionally</w:t>
      </w:r>
      <w:r>
        <w:t xml:space="preserve"> </w:t>
      </w:r>
      <w:r>
        <w:t xml:space="preserve">robust neural networks for group shifts: On the importance of regularization for worst-case</w:t>
      </w:r>
      <w:r>
        <w:t xml:space="preserve"> </w:t>
      </w:r>
      <w:r>
        <w:t xml:space="preserve">generalization. In</w:t>
      </w:r>
      <w:r>
        <w:t xml:space="preserve"> </w:t>
      </w:r>
      <w:r>
        <w:t xml:space="preserve">International Conference on Learning Representations</w:t>
      </w:r>
      <w:r>
        <w:t xml:space="preserve">, 2020. URL</w:t>
      </w:r>
      <w:r>
        <w:t xml:space="preserve"> </w:t>
      </w:r>
      <w:hyperlink r:id="rId272">
        <w:r>
          <w:rPr>
            <w:rStyle w:val="Hyperlink"/>
          </w:rPr>
          <w:t xml:space="preserve">https://openreview.net/forum?id=ryxGuJrFvS</w:t>
        </w:r>
      </w:hyperlink>
      <w:r>
        <w:t xml:space="preserve">.</w:t>
      </w:r>
    </w:p>
    <w:p>
      <w:pPr>
        <w:pStyle w:val="DefinitionTerm"/>
      </w:pPr>
      <w:r>
        <w:t xml:space="preserve">[44]</w:t>
      </w:r>
    </w:p>
    <w:p>
      <w:pPr>
        <w:pStyle w:val="Definition"/>
      </w:pPr>
      <w:bookmarkStart w:id="273" w:name="Xmirza2022normalization"/>
      <w:bookmarkEnd w:id="273"/>
      <w:r>
        <w:t xml:space="preserve">M. Jehanzeb Mirza, Jakub Micorek, Horst Possegger, and Horst Bischof. The norm must go on:</w:t>
      </w:r>
      <w:r>
        <w:t xml:space="preserve"> </w:t>
      </w:r>
      <w:r>
        <w:t xml:space="preserve">Dynamic unsupervised domain adaptation by normalization. In</w:t>
      </w:r>
      <w:r>
        <w:t xml:space="preserve"> </w:t>
      </w:r>
      <w:r>
        <w:t xml:space="preserve">Proceedings of the IEEE/CVF</w:t>
      </w:r>
      <w:r>
        <w:t xml:space="preserve"> </w:t>
      </w:r>
      <w:r>
        <w:t xml:space="preserve">Conference on Computer Vision and Pattern Recognition</w:t>
      </w:r>
      <w:r>
        <w:t xml:space="preserve">, pages 14765–14775, 2022. URL</w:t>
      </w:r>
      <w:r>
        <w:t xml:space="preserve"> </w:t>
      </w:r>
      <w:hyperlink r:id="rId274">
        <w:r>
          <w:rPr>
            <w:rStyle w:val="Hyperlink"/>
          </w:rPr>
          <w:t xml:space="preserve">https://openaccess.thecvf.com/content/CVPR2022/html/Mirza_The_Norm_Must_Go_On_Dynamic_Unsupervised_Domain_Adaptation_by_CVPR_2022_paper.html</w:t>
        </w:r>
      </w:hyperlink>
      <w:r>
        <w:t xml:space="preserve">.</w:t>
      </w:r>
    </w:p>
    <w:p>
      <w:pPr>
        <w:pStyle w:val="DefinitionTerm"/>
      </w:pPr>
      <w:r>
        <w:t xml:space="preserve">[45]</w:t>
      </w:r>
    </w:p>
    <w:p>
      <w:pPr>
        <w:pStyle w:val="Definition"/>
      </w:pPr>
      <w:bookmarkStart w:id="275" w:name="Xelyaniv2010selective"/>
      <w:bookmarkEnd w:id="275"/>
      <w:r>
        <w:t xml:space="preserve">Ran El-Yaniv and Yair Wiener. On the foundations of noise-free selective</w:t>
      </w:r>
      <w:r>
        <w:t xml:space="preserve"> </w:t>
      </w:r>
      <w:r>
        <w:t xml:space="preserve">classification.</w:t>
      </w:r>
      <w:r>
        <w:t xml:space="preserve"> </w:t>
      </w:r>
      <w:r>
        <w:t xml:space="preserve">Journal of Machine Learning Research</w:t>
      </w:r>
      <w:r>
        <w:t xml:space="preserve">, 11(53):1605–1641, 2010. URL</w:t>
      </w:r>
      <w:r>
        <w:t xml:space="preserve"> </w:t>
      </w:r>
      <w:hyperlink r:id="rId276">
        <w:r>
          <w:rPr>
            <w:rStyle w:val="Hyperlink"/>
          </w:rPr>
          <w:t xml:space="preserve">https://jmlr.org/papers/v11/el-yaniv10a.html</w:t>
        </w:r>
      </w:hyperlink>
      <w:r>
        <w:t xml:space="preserve">.</w:t>
      </w:r>
    </w:p>
    <w:p>
      <w:pPr>
        <w:pStyle w:val="DefinitionTerm"/>
      </w:pPr>
      <w:r>
        <w:t xml:space="preserve">[46]</w:t>
      </w:r>
    </w:p>
    <w:p>
      <w:pPr>
        <w:pStyle w:val="Definition"/>
      </w:pPr>
      <w:bookmarkStart w:id="277" w:name="Xgeifman2019selectivenet"/>
      <w:bookmarkEnd w:id="277"/>
      <w:r>
        <w:t xml:space="preserve">Yonatan Geifman and Ran El-Yaniv. SelectiveNet: A deep neural network with an integrated</w:t>
      </w:r>
      <w:r>
        <w:t xml:space="preserve"> </w:t>
      </w:r>
      <w:r>
        <w:t xml:space="preserve">reject option. In</w:t>
      </w:r>
      <w:r>
        <w:t xml:space="preserve"> </w:t>
      </w:r>
      <w:r>
        <w:t xml:space="preserve">Proceedings of the 36th International Conference on Machine Learning</w:t>
      </w:r>
      <w:r>
        <w:t xml:space="preserve">,</w:t>
      </w:r>
      <w:r>
        <w:t xml:space="preserve"> </w:t>
      </w:r>
      <w:r>
        <w:t xml:space="preserve">volume 97 of</w:t>
      </w:r>
      <w:r>
        <w:t xml:space="preserve"> </w:t>
      </w:r>
      <w:r>
        <w:t xml:space="preserve">Proceedings of Machine Learning Research</w:t>
      </w:r>
      <w:r>
        <w:t xml:space="preserve">, pages 2151–2159. PMLR, 2019. URL</w:t>
      </w:r>
      <w:r>
        <w:t xml:space="preserve"> </w:t>
      </w:r>
      <w:hyperlink r:id="rId278">
        <w:r>
          <w:rPr>
            <w:rStyle w:val="Hyperlink"/>
          </w:rPr>
          <w:t xml:space="preserve">https://proceedings.mlr.press/v97/geifman19a.html</w:t>
        </w:r>
      </w:hyperlink>
      <w:r>
        <w:t xml:space="preserve">.</w:t>
      </w:r>
    </w:p>
    <w:p>
      <w:pPr>
        <w:pStyle w:val="DefinitionTerm"/>
      </w:pPr>
      <w:r>
        <w:t xml:space="preserve">[47]</w:t>
      </w:r>
    </w:p>
    <w:p>
      <w:pPr>
        <w:pStyle w:val="Definition"/>
      </w:pPr>
      <w:bookmarkStart w:id="279" w:name="Xfranc2023reject"/>
      <w:bookmarkEnd w:id="279"/>
      <w:r>
        <w:t xml:space="preserve">Vojtech Franc, Daniel Prusa, and Vaclav Voracek. Optimal strategies for reject</w:t>
      </w:r>
      <w:r>
        <w:t xml:space="preserve"> </w:t>
      </w:r>
      <w:r>
        <w:t xml:space="preserve">option classifiers.</w:t>
      </w:r>
      <w:r>
        <w:t xml:space="preserve"> </w:t>
      </w:r>
      <w:r>
        <w:t xml:space="preserve">Journal of Machine Learning Research</w:t>
      </w:r>
      <w:r>
        <w:t xml:space="preserve">, 24(11):1–49, 2023. URL</w:t>
      </w:r>
      <w:r>
        <w:t xml:space="preserve"> </w:t>
      </w:r>
      <w:hyperlink r:id="rId280">
        <w:r>
          <w:rPr>
            <w:rStyle w:val="Hyperlink"/>
          </w:rPr>
          <w:t xml:space="preserve">https://www.jmlr.org/papers/v24/21-0048.html</w:t>
        </w:r>
      </w:hyperlink>
      <w:r>
        <w:t xml:space="preserve">.</w:t>
      </w:r>
    </w:p>
    <w:p>
      <w:pPr>
        <w:pStyle w:val="DefinitionTerm"/>
      </w:pPr>
      <w:r>
        <w:t xml:space="preserve">[48]</w:t>
      </w:r>
    </w:p>
    <w:p>
      <w:pPr>
        <w:pStyle w:val="Definition"/>
      </w:pPr>
      <w:bookmarkStart w:id="281" w:name="Xliang2024selective"/>
      <w:bookmarkEnd w:id="281"/>
      <w:r>
        <w:t xml:space="preserve">Hengyue Liang, Le Peng, and Ju Sun.</w:t>
      </w:r>
      <w:r>
        <w:t xml:space="preserve"> </w:t>
      </w:r>
      <w:r>
        <w:t xml:space="preserve">Selective classification under distribution shifts.</w:t>
      </w:r>
      <w:r>
        <w:t xml:space="preserve"> </w:t>
      </w:r>
      <w:r>
        <w:t xml:space="preserve">Transactions on Machine Learning Research</w:t>
      </w:r>
      <w:r>
        <w:t xml:space="preserve">,</w:t>
      </w:r>
      <w:r>
        <w:t xml:space="preserve"> </w:t>
      </w:r>
      <w:r>
        <w:t xml:space="preserve">2024. URL</w:t>
      </w:r>
      <w:r>
        <w:t xml:space="preserve"> </w:t>
      </w:r>
      <w:hyperlink r:id="rId282">
        <w:r>
          <w:rPr>
            <w:rStyle w:val="Hyperlink"/>
          </w:rPr>
          <w:t xml:space="preserve">https://openreview.net/forum?id=dmxMGW6J7N</w:t>
        </w:r>
      </w:hyperlink>
      <w:r>
        <w:t xml:space="preserve">.</w:t>
      </w:r>
    </w:p>
    <w:p>
      <w:pPr>
        <w:pStyle w:val="DefinitionTerm"/>
      </w:pPr>
      <w:r>
        <w:t xml:space="preserve">[49]</w:t>
      </w:r>
    </w:p>
    <w:p>
      <w:pPr>
        <w:pStyle w:val="Definition"/>
      </w:pPr>
      <w:bookmarkStart w:id="283" w:name="Xmozannar2020defer"/>
      <w:bookmarkEnd w:id="283"/>
      <w:r>
        <w:t xml:space="preserve">Hussein Mozannar and David Sontag. Consistent estimators for learning to defer to an</w:t>
      </w:r>
      <w:r>
        <w:t xml:space="preserve"> </w:t>
      </w:r>
      <w:r>
        <w:t xml:space="preserve">expert. In</w:t>
      </w:r>
      <w:r>
        <w:t xml:space="preserve"> </w:t>
      </w:r>
      <w:r>
        <w:t xml:space="preserve">Proceedings of the 37th International Conference on Machine Learning</w:t>
      </w:r>
      <w:r>
        <w:t xml:space="preserve">, volume</w:t>
      </w:r>
      <w:r>
        <w:t xml:space="preserve"> </w:t>
      </w:r>
      <w:r>
        <w:t xml:space="preserve">119 of</w:t>
      </w:r>
      <w:r>
        <w:t xml:space="preserve"> </w:t>
      </w:r>
      <w:r>
        <w:t xml:space="preserve">Proceedings of Machine Learning Research</w:t>
      </w:r>
      <w:r>
        <w:t xml:space="preserve">, pages 7076–7087. PMLR, 2020. URL</w:t>
      </w:r>
      <w:r>
        <w:t xml:space="preserve"> </w:t>
      </w:r>
      <w:hyperlink r:id="rId284">
        <w:r>
          <w:rPr>
            <w:rStyle w:val="Hyperlink"/>
          </w:rPr>
          <w:t xml:space="preserve">https://proceedings.mlr.press/v119/mozannar20b.html</w:t>
        </w:r>
      </w:hyperlink>
      <w:r>
        <w:t xml:space="preserve">.</w:t>
      </w:r>
    </w:p>
    <w:p>
      <w:pPr>
        <w:pStyle w:val="DefinitionTerm"/>
      </w:pPr>
      <w:r>
        <w:t xml:space="preserve">[50]</w:t>
      </w:r>
    </w:p>
    <w:p>
      <w:pPr>
        <w:pStyle w:val="Definition"/>
      </w:pPr>
      <w:bookmarkStart w:id="285" w:name="Xtailor2024population"/>
      <w:bookmarkEnd w:id="285"/>
      <w:r>
        <w:t xml:space="preserve">Dharmesh Tailor, Aditya Patra, Rajeev Verma, Putra Manggala, and Eric Nalisnick.</w:t>
      </w:r>
      <w:r>
        <w:t xml:space="preserve"> </w:t>
      </w:r>
      <w:r>
        <w:t xml:space="preserve">Learning to defer to a population: A meta-learning approach. In</w:t>
      </w:r>
      <w:r>
        <w:t xml:space="preserve"> </w:t>
      </w:r>
      <w:r>
        <w:t xml:space="preserve">Proceedings of the</w:t>
      </w:r>
      <w:r>
        <w:t xml:space="preserve"> </w:t>
      </w:r>
      <w:r>
        <w:t xml:space="preserve">27th International Conference on Artificial Intelligence and Statistics</w:t>
      </w:r>
      <w:r>
        <w:t xml:space="preserve">, volume 238 of</w:t>
      </w:r>
      <w:r>
        <w:t xml:space="preserve"> </w:t>
      </w:r>
      <w:r>
        <w:t xml:space="preserve">Proceedings of Machine Learning Research</w:t>
      </w:r>
      <w:r>
        <w:t xml:space="preserve">, pages 3475–3483. PMLR, 2024. URL</w:t>
      </w:r>
      <w:r>
        <w:t xml:space="preserve"> </w:t>
      </w:r>
      <w:hyperlink r:id="rId286">
        <w:r>
          <w:rPr>
            <w:rStyle w:val="Hyperlink"/>
          </w:rPr>
          <w:t xml:space="preserve">https://proceedings.mlr.press/v238/tailor24a.html</w:t>
        </w:r>
      </w:hyperlink>
      <w:r>
        <w:t xml:space="preserve">.</w:t>
      </w:r>
    </w:p>
    <w:p>
      <w:pPr>
        <w:pStyle w:val="DefinitionTerm"/>
      </w:pPr>
      <w:r>
        <w:t xml:space="preserve">[51]</w:t>
      </w:r>
    </w:p>
    <w:p>
      <w:pPr>
        <w:pStyle w:val="Definition"/>
      </w:pPr>
      <w:bookmarkStart w:id="287" w:name="Xchen2012cascade"/>
      <w:bookmarkEnd w:id="287"/>
      <w:r>
        <w:t xml:space="preserve">Minmin Chen, Zhixiang Xu, Kilian Weinberger, Olivier Chapelle, and Dor Kedem.</w:t>
      </w:r>
      <w:r>
        <w:t xml:space="preserve"> </w:t>
      </w:r>
      <w:r>
        <w:t xml:space="preserve">Classifier cascade for minimizing feature evaluation cost. In</w:t>
      </w:r>
      <w:r>
        <w:t xml:space="preserve"> </w:t>
      </w:r>
      <w:r>
        <w:t xml:space="preserve">Proceedings of the</w:t>
      </w:r>
      <w:r>
        <w:t xml:space="preserve"> </w:t>
      </w:r>
      <w:r>
        <w:t xml:space="preserve">Fifteenth International Conference on Artificial Intelligence and Statistics</w:t>
      </w:r>
      <w:r>
        <w:t xml:space="preserve">, volume 22</w:t>
      </w:r>
      <w:r>
        <w:t xml:space="preserve"> </w:t>
      </w:r>
      <w:r>
        <w:t xml:space="preserve">of</w:t>
      </w:r>
      <w:r>
        <w:t xml:space="preserve"> </w:t>
      </w:r>
      <w:r>
        <w:t xml:space="preserve">Proceedings of Machine Learning Research</w:t>
      </w:r>
      <w:r>
        <w:t xml:space="preserve">, pages 218–226. PMLR, 2012. URL</w:t>
      </w:r>
      <w:r>
        <w:t xml:space="preserve"> </w:t>
      </w:r>
      <w:hyperlink r:id="rId288">
        <w:r>
          <w:rPr>
            <w:rStyle w:val="Hyperlink"/>
          </w:rPr>
          <w:t xml:space="preserve">https://proceedings.mlr.press/v22/chen12c.html</w:t>
        </w:r>
      </w:hyperlink>
      <w:r>
        <w:t xml:space="preserve">.</w:t>
      </w:r>
    </w:p>
    <w:p>
      <w:pPr>
        <w:pStyle w:val="DefinitionTerm"/>
      </w:pPr>
      <w:r>
        <w:t xml:space="preserve">[52]</w:t>
      </w:r>
    </w:p>
    <w:p>
      <w:pPr>
        <w:pStyle w:val="Definition"/>
      </w:pPr>
      <w:bookmarkStart w:id="289" w:name="Xcruz2018dynamic"/>
      <w:bookmarkEnd w:id="289"/>
      <w:r>
        <w:t xml:space="preserve">Rafael M. O. Cruz, Robert Sabourin, and George D. C. Cavalcanti. Dynamic classifier</w:t>
      </w:r>
      <w:r>
        <w:t xml:space="preserve"> </w:t>
      </w:r>
      <w:r>
        <w:t xml:space="preserve">selection: Recent advances and perspectives.</w:t>
      </w:r>
      <w:r>
        <w:t xml:space="preserve"> </w:t>
      </w:r>
      <w:r>
        <w:t xml:space="preserve">Information Fusion</w:t>
      </w:r>
      <w:r>
        <w:t xml:space="preserve">, 41:195–216, 2018. doi: 10.1016/j.inffus.2017.09.010.</w:t>
      </w:r>
    </w:p>
    <w:p>
      <w:pPr>
        <w:pStyle w:val="DefinitionTerm"/>
      </w:pPr>
      <w:r>
        <w:t xml:space="preserve">[53]</w:t>
      </w:r>
    </w:p>
    <w:p>
      <w:pPr>
        <w:pStyle w:val="Definition"/>
      </w:pPr>
      <w:bookmarkStart w:id="290" w:name="Xdietterich1998tests"/>
      <w:bookmarkEnd w:id="290"/>
      <w:r>
        <w:t xml:space="preserve">Thomas G. Dietterich. Approximate statistical tests for comparing supervised classification</w:t>
      </w:r>
      <w:r>
        <w:t xml:space="preserve"> </w:t>
      </w:r>
      <w:r>
        <w:t xml:space="preserve">learning algorithms.</w:t>
      </w:r>
      <w:r>
        <w:t xml:space="preserve"> </w:t>
      </w:r>
      <w:r>
        <w:t xml:space="preserve">Neural Computation</w:t>
      </w:r>
      <w:r>
        <w:t xml:space="preserve">, 10(7):1895–1923, 1998. doi: 10.1162/</w:t>
      </w:r>
      <w:r>
        <w:t xml:space="preserve"> </w:t>
      </w:r>
      <w:r>
        <w:t xml:space="preserve">089976698300017197.</w:t>
      </w:r>
    </w:p>
    <w:p>
      <w:pPr>
        <w:pStyle w:val="DefinitionTerm"/>
      </w:pPr>
      <w:r>
        <w:t xml:space="preserve">[54]</w:t>
      </w:r>
    </w:p>
    <w:p>
      <w:pPr>
        <w:pStyle w:val="Definition"/>
      </w:pPr>
      <w:bookmarkStart w:id="291" w:name="Xdemsar2006statistical"/>
      <w:bookmarkEnd w:id="291"/>
      <w:r>
        <w:t xml:space="preserve">Janez Demšar. Statistical comparisons of</w:t>
      </w:r>
      <w:r>
        <w:t xml:space="preserve"> </w:t>
      </w:r>
      <w:r>
        <w:t xml:space="preserve">classifiers over multiple data sets.</w:t>
      </w:r>
      <w:r>
        <w:t xml:space="preserve"> </w:t>
      </w:r>
      <w:r>
        <w:t xml:space="preserve">Journal of Machine Learning Research</w:t>
      </w:r>
      <w:r>
        <w:t xml:space="preserve">, 7:1–30, 2006. URL</w:t>
      </w:r>
      <w:r>
        <w:t xml:space="preserve"> </w:t>
      </w:r>
      <w:hyperlink r:id="rId292">
        <w:r>
          <w:rPr>
            <w:rStyle w:val="Hyperlink"/>
          </w:rPr>
          <w:t xml:space="preserve">https://www.jmlr.org/papers/v7/demsar06a.html</w:t>
        </w:r>
      </w:hyperlink>
      <w:r>
        <w:t xml:space="preserve">.</w:t>
      </w:r>
    </w:p>
    <w:p>
      <w:pPr>
        <w:pStyle w:val="DefinitionTerm"/>
      </w:pPr>
      <w:r>
        <w:t xml:space="preserve">[55]</w:t>
      </w:r>
    </w:p>
    <w:p>
      <w:pPr>
        <w:pStyle w:val="Definition"/>
      </w:pPr>
      <w:bookmarkStart w:id="293" w:name="Xefron1994bootstrap"/>
      <w:bookmarkEnd w:id="293"/>
      <w:r>
        <w:t xml:space="preserve">Bradley Efron and Robert J. Tibshirani.</w:t>
      </w:r>
      <w:r>
        <w:t xml:space="preserve"> </w:t>
      </w:r>
      <w:r>
        <w:t xml:space="preserve">An Introduction to the Bootstrap</w:t>
      </w:r>
      <w:r>
        <w:t xml:space="preserve">. Chapman and</w:t>
      </w:r>
      <w:r>
        <w:t xml:space="preserve"> </w:t>
      </w:r>
      <w:r>
        <w:t xml:space="preserve">Hall/CRC, 1994. doi: 10.1201/9780429246593.</w:t>
      </w:r>
    </w:p>
    <w:p>
      <w:pPr>
        <w:pStyle w:val="DefinitionTerm"/>
      </w:pPr>
      <w:r>
        <w:t xml:space="preserve">[56]</w:t>
      </w:r>
    </w:p>
    <w:p>
      <w:pPr>
        <w:pStyle w:val="Definition"/>
      </w:pPr>
      <w:bookmarkStart w:id="294" w:name="Xmcnemar1947correlated"/>
      <w:bookmarkEnd w:id="294"/>
      <w:r>
        <w:t xml:space="preserve">Quinn McNemar. Note on the sampling error of the difference between correlated proportions</w:t>
      </w:r>
      <w:r>
        <w:t xml:space="preserve"> </w:t>
      </w:r>
      <w:r>
        <w:t xml:space="preserve">or percentages.</w:t>
      </w:r>
      <w:r>
        <w:t xml:space="preserve"> </w:t>
      </w:r>
      <w:r>
        <w:t xml:space="preserve">Psychometrika</w:t>
      </w:r>
      <w:r>
        <w:t xml:space="preserve">, 12(2):153–157, 1947. doi: 10.1007/BF02295996.</w:t>
      </w:r>
    </w:p>
    <w:p>
      <w:pPr>
        <w:pStyle w:val="DefinitionTerm"/>
      </w:pPr>
      <w:r>
        <w:t xml:space="preserve">[57]</w:t>
      </w:r>
    </w:p>
    <w:p>
      <w:pPr>
        <w:pStyle w:val="Definition"/>
      </w:pPr>
      <w:bookmarkStart w:id="295" w:name="Xsaito2015precision"/>
      <w:bookmarkEnd w:id="295"/>
      <w:r>
        <w:t xml:space="preserve">Takaya Saito and Marc Rehmsmeier. The precision–recall plot is more informative than the</w:t>
      </w:r>
      <w:r>
        <w:t xml:space="preserve"> </w:t>
      </w:r>
      <w:r>
        <w:t xml:space="preserve">ROC plot when evaluating binary classifiers on imbalanced datasets.</w:t>
      </w:r>
      <w:r>
        <w:t xml:space="preserve"> </w:t>
      </w:r>
      <w:r>
        <w:t xml:space="preserve">PLOS ONE</w:t>
      </w:r>
      <w:r>
        <w:t xml:space="preserve">, 10(3):</w:t>
      </w:r>
      <w:r>
        <w:t xml:space="preserve"> </w:t>
      </w:r>
      <w:r>
        <w:t xml:space="preserve">e0118432, 2015. doi: 10.1371/journal.pone.0118432.</w:t>
      </w:r>
    </w:p>
    <w:p>
      <w:pPr>
        <w:pStyle w:val="DefinitionTerm"/>
      </w:pPr>
      <w:r>
        <w:t xml:space="preserve">[58]</w:t>
      </w:r>
    </w:p>
    <w:p>
      <w:pPr>
        <w:pStyle w:val="Definition"/>
      </w:pPr>
      <w:bookmarkStart w:id="296" w:name="Xtarvainen2017mean"/>
      <w:bookmarkEnd w:id="296"/>
      <w:r>
        <w:t xml:space="preserve">Antti Tarvainen and Harri Valpola. Mean teachers are better role models: Weight-averaged</w:t>
      </w:r>
      <w:r>
        <w:t xml:space="preserve"> </w:t>
      </w:r>
      <w:r>
        <w:t xml:space="preserve">consistency targets improve semi-supervised deep learning results. In</w:t>
      </w:r>
      <w:r>
        <w:t xml:space="preserve"> </w:t>
      </w:r>
      <w:r>
        <w:t xml:space="preserve">Advances in</w:t>
      </w:r>
      <w:r>
        <w:t xml:space="preserve"> </w:t>
      </w:r>
      <w:r>
        <w:t xml:space="preserve">Neural Information Processing Systems</w:t>
      </w:r>
      <w:r>
        <w:t xml:space="preserve">, volume 30, pages 1195–1204, 2017. URL</w:t>
      </w:r>
      <w:r>
        <w:t xml:space="preserve"> </w:t>
      </w:r>
      <w:hyperlink r:id="rId297">
        <w:r>
          <w:rPr>
            <w:rStyle w:val="Hyperlink"/>
          </w:rPr>
          <w:t xml:space="preserve">https://proceedings.neurips.cc/paper_files/paper/2017/hash/68053af2923e00204c3ca7c6a3150cf7-Abstract.html</w:t>
        </w:r>
      </w:hyperlink>
      <w:r>
        <w:t xml:space="preserve">.</w:t>
      </w:r>
    </w:p>
    <w:p>
      <w:pPr>
        <w:pStyle w:val="DefinitionTerm"/>
      </w:pPr>
      <w:r>
        <w:t xml:space="preserve">[59]</w:t>
      </w:r>
    </w:p>
    <w:p>
      <w:pPr>
        <w:pStyle w:val="Definition"/>
      </w:pPr>
      <w:bookmarkStart w:id="298" w:name="Xyang2021pairwise"/>
      <w:bookmarkEnd w:id="298"/>
      <w:r>
        <w:t xml:space="preserve">Zhenhuan Yang, Yunwen Lei, Siwei Lyu, and Yiming Ying. Stability and differential</w:t>
      </w:r>
      <w:r>
        <w:t xml:space="preserve"> </w:t>
      </w:r>
      <w:r>
        <w:t xml:space="preserve">privacy of stochastic gradient descent for pairwise learning with non-smooth loss. In</w:t>
      </w:r>
      <w:r>
        <w:t xml:space="preserve"> </w:t>
      </w:r>
      <w:r>
        <w:t xml:space="preserve">Proceedings of the 24th International Conference on Artificial Intelligence and Statistics</w:t>
      </w:r>
      <w:r>
        <w:t xml:space="preserve">,</w:t>
      </w:r>
      <w:r>
        <w:t xml:space="preserve"> </w:t>
      </w:r>
      <w:r>
        <w:t xml:space="preserve">volume 130 of</w:t>
      </w:r>
      <w:r>
        <w:t xml:space="preserve"> </w:t>
      </w:r>
      <w:r>
        <w:t xml:space="preserve">Proceedings of Machine Learning Research</w:t>
      </w:r>
      <w:r>
        <w:t xml:space="preserve">, pages 2026–2034, 2021. URL</w:t>
      </w:r>
      <w:r>
        <w:t xml:space="preserve"> </w:t>
      </w:r>
      <w:hyperlink r:id="rId299">
        <w:r>
          <w:rPr>
            <w:rStyle w:val="Hyperlink"/>
          </w:rPr>
          <w:t xml:space="preserve">https://proceedings.mlr.press/v130/yang21c.html</w:t>
        </w:r>
      </w:hyperlink>
      <w:r>
        <w:t xml:space="preserve">.</w:t>
      </w:r>
    </w:p>
    <w:p>
      <w:pPr>
        <w:pStyle w:val="DefinitionTerm"/>
      </w:pPr>
      <w:r>
        <w:t xml:space="preserve">[60]</w:t>
      </w:r>
    </w:p>
    <w:p>
      <w:pPr>
        <w:pStyle w:val="Definition"/>
      </w:pPr>
      <w:bookmarkStart w:id="300" w:name="Xvergara2012dataset"/>
      <w:bookmarkEnd w:id="300"/>
      <w:r>
        <w:t xml:space="preserve">Alexander Vergara. Gas sensor array drift dataset, 2012. Licensed under CC BY 4.0.</w:t>
      </w:r>
    </w:p>
    <w:p>
      <w:pPr>
        <w:pStyle w:val="DefinitionTerm"/>
      </w:pPr>
      <w:r>
        <w:t xml:space="preserve">[61]</w:t>
      </w:r>
    </w:p>
    <w:p>
      <w:pPr>
        <w:pStyle w:val="Definition"/>
      </w:pPr>
      <w:bookmarkStart w:id="301" w:name="Xvergara2012drift"/>
      <w:bookmarkEnd w:id="301"/>
      <w:r>
        <w:t xml:space="preserve">Alexander Vergara, Shankar Vembu, Tuba Ayhan, Margaret A. Ryan, Margie L. Homer, and</w:t>
      </w:r>
      <w:r>
        <w:t xml:space="preserve"> </w:t>
      </w:r>
      <w:r>
        <w:t xml:space="preserve">Ramon Huerta. Chemical gas sensor drift compensation using classifier ensembles.</w:t>
      </w:r>
      <w:r>
        <w:t xml:space="preserve"> </w:t>
      </w:r>
      <w:r>
        <w:t xml:space="preserve">Sensors</w:t>
      </w:r>
      <w:r>
        <w:t xml:space="preserve"> </w:t>
      </w:r>
      <w:r>
        <w:t xml:space="preserve">and Actuators B: Chemical</w:t>
      </w:r>
      <w:r>
        <w:t xml:space="preserve">, 166–167:320–329, 2012. doi: 10.1016/j.snb.2012.01.074.</w:t>
      </w:r>
    </w:p>
    <w:p>
      <w:pPr>
        <w:pStyle w:val="DefinitionTerm"/>
      </w:pPr>
      <w:r>
        <w:t xml:space="preserve">[62]</w:t>
      </w:r>
    </w:p>
    <w:p>
      <w:pPr>
        <w:pStyle w:val="Definition"/>
      </w:pPr>
      <w:bookmarkStart w:id="302" w:name="Xhelwig2018hydraulic"/>
      <w:bookmarkEnd w:id="302"/>
      <w:r>
        <w:t xml:space="preserve">Nikolai Helwig, Eliseo Pignanelli, and Andreas Schütze. Condition monitoring of hydraulic</w:t>
      </w:r>
      <w:r>
        <w:t xml:space="preserve"> </w:t>
      </w:r>
      <w:r>
        <w:t xml:space="preserve">systems, 2018. Licensed under CC BY 4.0.</w:t>
      </w:r>
    </w:p>
    <w:bookmarkEnd w:id="303"/>
    <w:sectPr>
      <w:footnotePr>
        <w:numRestart w:val="eachSect"/>
      </w:footnotePr>
      <w:pgMar w:top="1440" w:bottom="1440" w:left="1440" w:right="1440"/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80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70" Type="http://schemas.openxmlformats.org/officeDocument/2006/relationships/image" Target="media/rId70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9" Type="http://schemas.openxmlformats.org/officeDocument/2006/relationships/image" Target="media/rId89.png"/><Relationship Id="rId93" Type="http://schemas.openxmlformats.org/officeDocument/2006/relationships/image" Target="media/rId93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106" Type="http://schemas.openxmlformats.org/officeDocument/2006/relationships/image" Target="media/rId106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33" Type="http://schemas.openxmlformats.org/officeDocument/2006/relationships/image" Target="media/rId33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59" Type="http://schemas.openxmlformats.org/officeDocument/2006/relationships/image" Target="media/rId59.png"/><Relationship Id="rId63" Type="http://schemas.openxmlformats.org/officeDocument/2006/relationships/image" Target="media/rId63.png"/><Relationship Id="rId66" Type="http://schemas.openxmlformats.org/officeDocument/2006/relationships/image" Target="media/rId66.png"/><Relationship Id="rId134" Type="http://schemas.openxmlformats.org/officeDocument/2006/relationships/hyperlink" Target="https://doi.org/10.24432/C5CW21" TargetMode="External"/><Relationship Id="rId201" Type="http://schemas.openxmlformats.org/officeDocument/2006/relationships/hyperlink" Target="https://doi.org/10.24432/C5RP6W" TargetMode="External"/><Relationship Id="rId137" Type="http://schemas.openxmlformats.org/officeDocument/2006/relationships/hyperlink" Target="https://doi.org/10.6084/m9.figshare.27147678.v3" TargetMode="External"/><Relationship Id="rId202" Type="http://schemas.openxmlformats.org/officeDocument/2006/relationships/hyperlink" Target="https://github.com/Corey9999/recovery-supervision-calibrated-fallback" TargetMode="External"/><Relationship Id="rId203" Type="http://schemas.openxmlformats.org/officeDocument/2006/relationships/hyperlink" Target="https://github.com/Corey9999/recovery-supervision-calibrated-fallback/tree/f8ef1a17bdfc98377334dd9aa6903702cdc789c1/cee_revision" TargetMode="External"/><Relationship Id="rId276" Type="http://schemas.openxmlformats.org/officeDocument/2006/relationships/hyperlink" Target="https://jmlr.org/papers/v11/el-yaniv10a.html" TargetMode="External"/><Relationship Id="rId274" Type="http://schemas.openxmlformats.org/officeDocument/2006/relationships/hyperlink" Target="https://openaccess.thecvf.com/content/CVPR2022/html/Mirza_The_Norm_Must_Go_On_Dynamic_Unsupervised_Domain_Adaptation_by_CVPR_2022_paper.html" TargetMode="External"/><Relationship Id="rId235" Type="http://schemas.openxmlformats.org/officeDocument/2006/relationships/hyperlink" Target="https://openreview.net/forum?id=2wgnepQjyF" TargetMode="External"/><Relationship Id="rId282" Type="http://schemas.openxmlformats.org/officeDocument/2006/relationships/hyperlink" Target="https://openreview.net/forum?id=dmxMGW6J7N" TargetMode="External"/><Relationship Id="rId272" Type="http://schemas.openxmlformats.org/officeDocument/2006/relationships/hyperlink" Target="https://openreview.net/forum?id=ryxGuJrFvS" TargetMode="External"/><Relationship Id="rId218" Type="http://schemas.openxmlformats.org/officeDocument/2006/relationships/hyperlink" Target="https://openreview.net/forum?id=tc7RFcx4hT" TargetMode="External"/><Relationship Id="rId229" Type="http://schemas.openxmlformats.org/officeDocument/2006/relationships/hyperlink" Target="https://proceedings.iclr.cc/paper_files/paper/2025/hash/6580845ce91a748a9bb09cec079aac1d-Abstract-Conference.html" TargetMode="External"/><Relationship Id="rId284" Type="http://schemas.openxmlformats.org/officeDocument/2006/relationships/hyperlink" Target="https://proceedings.mlr.press/v119/mozannar20b.html" TargetMode="External"/><Relationship Id="rId299" Type="http://schemas.openxmlformats.org/officeDocument/2006/relationships/hyperlink" Target="https://proceedings.mlr.press/v130/yang21c.html" TargetMode="External"/><Relationship Id="rId269" Type="http://schemas.openxmlformats.org/officeDocument/2006/relationships/hyperlink" Target="https://proceedings.mlr.press/v161/podkopaev21a.html" TargetMode="External"/><Relationship Id="rId224" Type="http://schemas.openxmlformats.org/officeDocument/2006/relationships/hyperlink" Target="https://proceedings.mlr.press/v202/mckinzie23a.html" TargetMode="External"/><Relationship Id="rId237" Type="http://schemas.openxmlformats.org/officeDocument/2006/relationships/hyperlink" Target="https://proceedings.mlr.press/v202/zhang23ar.html" TargetMode="External"/><Relationship Id="rId267" Type="http://schemas.openxmlformats.org/officeDocument/2006/relationships/hyperlink" Target="https://proceedings.mlr.press/v206/mortier23a.html" TargetMode="External"/><Relationship Id="rId288" Type="http://schemas.openxmlformats.org/officeDocument/2006/relationships/hyperlink" Target="https://proceedings.mlr.press/v22/chen12c.html" TargetMode="External"/><Relationship Id="rId286" Type="http://schemas.openxmlformats.org/officeDocument/2006/relationships/hyperlink" Target="https://proceedings.mlr.press/v238/tailor24a.html" TargetMode="External"/><Relationship Id="rId232" Type="http://schemas.openxmlformats.org/officeDocument/2006/relationships/hyperlink" Target="https://proceedings.mlr.press/v258/sidheekh25a.html" TargetMode="External"/><Relationship Id="rId256" Type="http://schemas.openxmlformats.org/officeDocument/2006/relationships/hyperlink" Target="https://proceedings.mlr.press/v70/guo17a.html" TargetMode="External"/><Relationship Id="rId262" Type="http://schemas.openxmlformats.org/officeDocument/2006/relationships/hyperlink" Target="https://proceedings.mlr.press/v89/vaicenavicius19a.html" TargetMode="External"/><Relationship Id="rId278" Type="http://schemas.openxmlformats.org/officeDocument/2006/relationships/hyperlink" Target="https://proceedings.mlr.press/v97/geifman19a.html" TargetMode="External"/><Relationship Id="rId251" Type="http://schemas.openxmlformats.org/officeDocument/2006/relationships/hyperlink" Target="https://proceedings.neurips.cc/paper/2017/hash/2650d6089a6d640c5e85b2b88265dc2b-Abstract.html" TargetMode="External"/><Relationship Id="rId254" Type="http://schemas.openxmlformats.org/officeDocument/2006/relationships/hyperlink" Target="https://proceedings.neurips.cc/paper/2017/hash/9ef2ed4b7fd2c810847ffa5fa85bce38-Abstract.html" TargetMode="External"/><Relationship Id="rId258" Type="http://schemas.openxmlformats.org/officeDocument/2006/relationships/hyperlink" Target="https://proceedings.neurips.cc/paper/2019/hash/8558cb408c1d76621371888657d2eb1d-Abstract.html" TargetMode="External"/><Relationship Id="rId265" Type="http://schemas.openxmlformats.org/officeDocument/2006/relationships/hyperlink" Target="https://proceedings.neurips.cc/paper/2019/hash/8ca01ea920679a0fe3728441494041b9-Abstract.html" TargetMode="External"/><Relationship Id="rId260" Type="http://schemas.openxmlformats.org/officeDocument/2006/relationships/hyperlink" Target="https://proceedings.neurips.cc/paper/2021/hash/8420d359404024567b5aefda1231af24-Abstract.html" TargetMode="External"/><Relationship Id="rId297" Type="http://schemas.openxmlformats.org/officeDocument/2006/relationships/hyperlink" Target="https://proceedings.neurips.cc/paper_files/paper/2017/hash/68053af2923e00204c3ca7c6a3150cf7-Abstract.html" TargetMode="External"/><Relationship Id="rId280" Type="http://schemas.openxmlformats.org/officeDocument/2006/relationships/hyperlink" Target="https://www.jmlr.org/papers/v24/21-0048.html" TargetMode="External"/><Relationship Id="rId292" Type="http://schemas.openxmlformats.org/officeDocument/2006/relationships/hyperlink" Target="https://www.jmlr.org/papers/v7/demsar06a.html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otnotes.xml.rels><?xml version='1.0' encoding='UTF-8' standalone='yes'?>
<Relationships xmlns="http://schemas.openxmlformats.org/package/2006/relationships"><Relationship Id="rId134" Type="http://schemas.openxmlformats.org/officeDocument/2006/relationships/hyperlink" Target="https://doi.org/10.24432/C5CW21" TargetMode="External"/><Relationship Id="rId201" Type="http://schemas.openxmlformats.org/officeDocument/2006/relationships/hyperlink" Target="https://doi.org/10.24432/C5RP6W" TargetMode="External"/><Relationship Id="rId137" Type="http://schemas.openxmlformats.org/officeDocument/2006/relationships/hyperlink" Target="https://doi.org/10.6084/m9.figshare.27147678.v3" TargetMode="External"/><Relationship Id="rId202" Type="http://schemas.openxmlformats.org/officeDocument/2006/relationships/hyperlink" Target="https://github.com/Corey9999/recovery-supervision-calibrated-fallback" TargetMode="External"/><Relationship Id="rId203" Type="http://schemas.openxmlformats.org/officeDocument/2006/relationships/hyperlink" Target="https://github.com/Corey9999/recovery-supervision-calibrated-fallback/tree/f8ef1a17bdfc98377334dd9aa6903702cdc789c1/cee_revision" TargetMode="External"/><Relationship Id="rId276" Type="http://schemas.openxmlformats.org/officeDocument/2006/relationships/hyperlink" Target="https://jmlr.org/papers/v11/el-yaniv10a.html" TargetMode="External"/><Relationship Id="rId274" Type="http://schemas.openxmlformats.org/officeDocument/2006/relationships/hyperlink" Target="https://openaccess.thecvf.com/content/CVPR2022/html/Mirza_The_Norm_Must_Go_On_Dynamic_Unsupervised_Domain_Adaptation_by_CVPR_2022_paper.html" TargetMode="External"/><Relationship Id="rId235" Type="http://schemas.openxmlformats.org/officeDocument/2006/relationships/hyperlink" Target="https://openreview.net/forum?id=2wgnepQjyF" TargetMode="External"/><Relationship Id="rId282" Type="http://schemas.openxmlformats.org/officeDocument/2006/relationships/hyperlink" Target="https://openreview.net/forum?id=dmxMGW6J7N" TargetMode="External"/><Relationship Id="rId272" Type="http://schemas.openxmlformats.org/officeDocument/2006/relationships/hyperlink" Target="https://openreview.net/forum?id=ryxGuJrFvS" TargetMode="External"/><Relationship Id="rId218" Type="http://schemas.openxmlformats.org/officeDocument/2006/relationships/hyperlink" Target="https://openreview.net/forum?id=tc7RFcx4hT" TargetMode="External"/><Relationship Id="rId229" Type="http://schemas.openxmlformats.org/officeDocument/2006/relationships/hyperlink" Target="https://proceedings.iclr.cc/paper_files/paper/2025/hash/6580845ce91a748a9bb09cec079aac1d-Abstract-Conference.html" TargetMode="External"/><Relationship Id="rId284" Type="http://schemas.openxmlformats.org/officeDocument/2006/relationships/hyperlink" Target="https://proceedings.mlr.press/v119/mozannar20b.html" TargetMode="External"/><Relationship Id="rId299" Type="http://schemas.openxmlformats.org/officeDocument/2006/relationships/hyperlink" Target="https://proceedings.mlr.press/v130/yang21c.html" TargetMode="External"/><Relationship Id="rId269" Type="http://schemas.openxmlformats.org/officeDocument/2006/relationships/hyperlink" Target="https://proceedings.mlr.press/v161/podkopaev21a.html" TargetMode="External"/><Relationship Id="rId224" Type="http://schemas.openxmlformats.org/officeDocument/2006/relationships/hyperlink" Target="https://proceedings.mlr.press/v202/mckinzie23a.html" TargetMode="External"/><Relationship Id="rId237" Type="http://schemas.openxmlformats.org/officeDocument/2006/relationships/hyperlink" Target="https://proceedings.mlr.press/v202/zhang23ar.html" TargetMode="External"/><Relationship Id="rId267" Type="http://schemas.openxmlformats.org/officeDocument/2006/relationships/hyperlink" Target="https://proceedings.mlr.press/v206/mortier23a.html" TargetMode="External"/><Relationship Id="rId288" Type="http://schemas.openxmlformats.org/officeDocument/2006/relationships/hyperlink" Target="https://proceedings.mlr.press/v22/chen12c.html" TargetMode="External"/><Relationship Id="rId286" Type="http://schemas.openxmlformats.org/officeDocument/2006/relationships/hyperlink" Target="https://proceedings.mlr.press/v238/tailor24a.html" TargetMode="External"/><Relationship Id="rId232" Type="http://schemas.openxmlformats.org/officeDocument/2006/relationships/hyperlink" Target="https://proceedings.mlr.press/v258/sidheekh25a.html" TargetMode="External"/><Relationship Id="rId256" Type="http://schemas.openxmlformats.org/officeDocument/2006/relationships/hyperlink" Target="https://proceedings.mlr.press/v70/guo17a.html" TargetMode="External"/><Relationship Id="rId262" Type="http://schemas.openxmlformats.org/officeDocument/2006/relationships/hyperlink" Target="https://proceedings.mlr.press/v89/vaicenavicius19a.html" TargetMode="External"/><Relationship Id="rId278" Type="http://schemas.openxmlformats.org/officeDocument/2006/relationships/hyperlink" Target="https://proceedings.mlr.press/v97/geifman19a.html" TargetMode="External"/><Relationship Id="rId251" Type="http://schemas.openxmlformats.org/officeDocument/2006/relationships/hyperlink" Target="https://proceedings.neurips.cc/paper/2017/hash/2650d6089a6d640c5e85b2b88265dc2b-Abstract.html" TargetMode="External"/><Relationship Id="rId254" Type="http://schemas.openxmlformats.org/officeDocument/2006/relationships/hyperlink" Target="https://proceedings.neurips.cc/paper/2017/hash/9ef2ed4b7fd2c810847ffa5fa85bce38-Abstract.html" TargetMode="External"/><Relationship Id="rId258" Type="http://schemas.openxmlformats.org/officeDocument/2006/relationships/hyperlink" Target="https://proceedings.neurips.cc/paper/2019/hash/8558cb408c1d76621371888657d2eb1d-Abstract.html" TargetMode="External"/><Relationship Id="rId265" Type="http://schemas.openxmlformats.org/officeDocument/2006/relationships/hyperlink" Target="https://proceedings.neurips.cc/paper/2019/hash/8ca01ea920679a0fe3728441494041b9-Abstract.html" TargetMode="External"/><Relationship Id="rId260" Type="http://schemas.openxmlformats.org/officeDocument/2006/relationships/hyperlink" Target="https://proceedings.neurips.cc/paper/2021/hash/8420d359404024567b5aefda1231af24-Abstract.html" TargetMode="External"/><Relationship Id="rId297" Type="http://schemas.openxmlformats.org/officeDocument/2006/relationships/hyperlink" Target="https://proceedings.neurips.cc/paper_files/paper/2017/hash/68053af2923e00204c3ca7c6a3150cf7-Abstract.html" TargetMode="External"/><Relationship Id="rId280" Type="http://schemas.openxmlformats.org/officeDocument/2006/relationships/hyperlink" Target="https://www.jmlr.org/papers/v24/21-0048.html" TargetMode="External"/><Relationship Id="rId292" Type="http://schemas.openxmlformats.org/officeDocument/2006/relationships/hyperlink" Target="https://www.jmlr.org/papers/v7/demsar06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Support-gated selective recovery under controlled multi-sensor corruption</dc:title>
  <dc:creator>Riyang Luo</dc:creator>
  <dc:language>en-US</dc:language>
  <cp:keywords/>
  <dcterms:created xsi:type="dcterms:W3CDTF">2026-07-15T08:14:25Z</dcterms:created>
  <dcterms:modified xsi:type="dcterms:W3CDTF">2026-07-15T08:14:25Z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manuscript_cee.tex</vt:lpwstr>
  </property>
  <property fmtid="{D5CDD505-2E9C-101B-9397-08002B2CF9AE}" pid="4" name="viewport">
    <vt:lpwstr>width=device-width,initial-scale=1</vt:lpwstr>
  </property>
</Properties>
</file>