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>Supplementary information</w:t>
        <w:br/>
        <w:t>Support-gated selective recovery under controlled multi-sensor corruption</w:t>
      </w:r>
    </w:p>
    <w:bookmarkStart w:id="9" w:name="X67a9fe91df20a6b4017e16561adfab56dcf89b5"/>
    <w:p>
      <w:pPr>
        <w:pStyle w:val="FirstParagraph"/>
        <w:jc w:val="center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43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one selected</w:t>
      </w:r>
      <w:r>
        <w:t xml:space="preserve"> </w:t>
      </w:r>
      <w:r>
        <w:t xml:space="preserve">endpoint vector rather than a probability mixture,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 Its feature scaler is refitted on the</w:t>
      </w:r>
      <w:r>
        <w:t xml:space="preserve"> </w:t>
      </w:r>
      <w:r>
        <w:t xml:space="preserve">informative training rows inside every cross-fitting fold and then refitted on all informative calibration rows for the final</w:t>
      </w:r>
      <w:r>
        <w:t xml:space="preserve"> </w:t>
      </w:r>
      <w:r>
        <w:t xml:space="preserve">model.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q1_lite_probability_by_seed.csv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Prevalence/cost utility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q1_lite_prevalence_pass_utility.csv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q1_lite_utility_sensitivity_summary.csv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Direct CPU timing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q1_lite_cpu_latency.csv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q1_lite_cpu_latency_summary.csv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Fixed-thread timing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strict88_cpu_thread_sensitivity.csv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strict88_cpu_thread_summary.csv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Mild severity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strict88_mild_scale1_metrics.csv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strict88_mild_scale1_safety.csv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Deployment support 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strict88_deployment_support.csv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strict88_support_gated_policy.csv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Opportunity</w:t>
                  </w:r>
                  <w:r>
                    <w:t xml:space="preserve"> </w:t>
                  </w:r>
                  <w:r>
                    <w:t xml:space="preserve">counts/dispersion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strict88_opportunity_counts_by_mechanism.csv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strict88_endpoint_seed_dispersion.csv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r>
        <w:t xml:space="preserve">The prospective support gate was introduced in response to review and was not used to select or replace the frozen</w:t>
      </w:r>
      <w:r>
        <w:t xml:space="preserve"> </w:t>
      </w:r>
      <w:r>
        <w:t xml:space="preserve">headline result. A fitted pair is operationally supported only if its calibration data contain at least 25 base-better and 25</w:t>
      </w:r>
      <w:r>
        <w:t xml:space="preserve"> </w:t>
      </w:r>
      <w:r>
        <w:t xml:space="preserve">recovery-better events, every grouped fitting fold contains both preference classes, the median out-of-fold</w:t>
      </w:r>
      <w:r>
        <w:t xml:space="preserve"> </w:t>
      </w:r>
      <w:r>
        <w:t xml:space="preserve">AUROC across 10 repeated grouped splits is at least 0.65, no repeated AUROC is below 0.60 and the repeated</w:t>
      </w:r>
      <w:r>
        <w:t xml:space="preserve"> </w:t>
      </w:r>
      <w:r>
        <w:t xml:space="preserve">threshold range is at most 0.10. All conditions must pass. A deployment that fails the gate must emit PDRF and</w:t>
      </w:r>
      <w:r>
        <w:t xml:space="preserve"> </w:t>
      </w:r>
      <w:r>
        <w:t xml:space="preserve">continue collecting calibration evidence; coefficients and thresholds are not transported from another pair or</w:t>
      </w:r>
      <w:r>
        <w:t xml:space="preserve"> </w:t>
      </w:r>
      <w:r>
        <w:t xml:space="preserve">site.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Base-better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Recovery-better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Threshold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Supported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0.675–0.700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0.725–0.800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0.550–0.575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Prospective deployment-support gate applied retrospectively to the 10 frozen endpoint pairs. Event counts</w:t>
      </w:r>
      <w:r>
        <w:t xml:space="preserve"> </w:t>
      </w:r>
      <w:r>
        <w:t xml:space="preserve">use informative Batch 7 calibration rows. AUROC and threshold summaries use 10 repeated grouped cross-fitting</w:t>
      </w:r>
      <w:r>
        <w:t xml:space="preserve"> </w:t>
      </w:r>
      <w:r>
        <w:t xml:space="preserve">splits. The gate was added after review and is reported as an operational boundary, not as a replacement estimand.</w:t>
      </w:r>
    </w:p>
    <w:p>
      <w:pPr>
        <w:pStyle w:val="BodyText"/>
      </w:pPr>
      <w:r>
        <w:t xml:space="preserve">Only five of the 10 fitted pairs passed every support condition. Enforcing the fallback rule retrospectively reduced</w:t>
      </w:r>
      <w:r>
        <w:t xml:space="preserve"> </w:t>
      </w:r>
      <w:r>
        <w:t xml:space="preserve">recovery endpoint selection and correction retention while increasing prevention (Table </w:t>
      </w:r>
      <w:hyperlink w:anchor="Xb1a3c60ce6711c8f194ca2fc72b528f6673370e">
        <w:r>
          <w:rPr>
            <w:rStyle w:val="Hyperlink"/>
          </w:rPr>
          <w:t xml:space="preserve">S7</w:t>
        </w:r>
      </w:hyperlink>
      <w:r>
        <w:t xml:space="preserve">). This result is descriptive because</w:t>
      </w:r>
      <w:r>
        <w:t xml:space="preserve"> </w:t>
      </w:r>
      <w:r>
        <w:t xml:space="preserve">the gate was not fixed before the frozen test evaluation.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Support-gated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Descriptive consequence of the prospective support gate on the frozen strict test set. Unsupported endpoint</w:t>
      </w:r>
      <w:r>
        <w:t xml:space="preserve"> </w:t>
      </w:r>
      <w:r>
        <w:t xml:space="preserve">pairs emit PDRF on every observation; supported pairs retain their previously frozen Lite-CF selector.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2.677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0.042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Seed-level dispersion of strict-subset routed-output metrics. Each fitted-pair value first averages the four</w:t>
      </w:r>
      <w:r>
        <w:t xml:space="preserve"> </w:t>
      </w:r>
      <w:r>
        <w:t xml:space="preserve">fixed mechanisms; entries are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10 fitted endpoint pairs. They quantify fitting variation</w:t>
      </w:r>
      <w:r>
        <w:t xml:space="preserve"> </w:t>
      </w:r>
      <w:r>
        <w:t xml:space="preserve">on the present test observations, not independent devices.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conditional preference AUROC was</w:t>
      </w:r>
      <w:r>
        <w:t xml:space="preserve"> </w:t>
      </w:r>
      <w:r>
        <w:t xml:space="preserve">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Thresholds ranged from 0.525 to 0.90. The mean primary-objective tie count</w:t>
      </w:r>
      <w:r>
        <w:t xml:space="preserve"> </w:t>
      </w:r>
      <w:r>
        <w:t xml:space="preserve">was 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Lite-CF standardized coefficient and sign stability over 500 fold fits. Dominant sign is the larger of</w:t>
      </w:r>
      <w:r>
        <w:t xml:space="preserve"> </w:t>
      </w:r>
      <w:r>
        <w:t xml:space="preserve">positive- and negative-sign frequency; it is not a causal importance measure.</w:t>
      </w:r>
    </w:p>
    <w:p>
      <w:pPr>
        <w:pStyle w:val="BodyText"/>
      </w:pPr>
      <w:bookmarkStart w:id="35" w:name="x1-2008r12"/>
      <w:bookmarkEnd w:id="3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6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Lite-CF regularization path. Values average five grouped repeats for each of 10 endpoint pairs. The</w:t>
      </w:r>
      <w:r>
        <w:t xml:space="preserve"> </w:t>
      </w:r>
      <w:r>
        <w:t xml:space="preserve">deployed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 a strong-shrinkage choice rather than the calibration-discrimination optimum.</w:t>
      </w:r>
    </w:p>
    <w:p>
      <w:pPr>
        <w:pStyle w:val="BodyText"/>
      </w:pPr>
      <w:bookmarkStart w:id="37" w:name="x1-2009r13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39" w:name="x1-2010r14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 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observations, 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retained corrections 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the number of realized harms. Harm-to-correction ratios are 1, 2, 5 and 10; pass penalties are 0,</w:t>
      </w:r>
      <w:r>
        <w:t xml:space="preserve"> </w:t>
      </w:r>
      <w:r>
        <w:t xml:space="preserve">0.5 and 2 correction equivalents per 10,000. The complete source file preserves seed- and mechanism-level values. Energy was</w:t>
      </w:r>
      <w:r>
        <w:t xml:space="preserve"> </w:t>
      </w:r>
      <w:r>
        <w:t xml:space="preserve">not measured. Consequently, neither the pass penalty nor counted FLOPs are presented as electrical-energy</w:t>
      </w:r>
      <w:r>
        <w:t xml:space="preserve"> </w:t>
      </w:r>
      <w:r>
        <w:t xml:space="preserve">estimates.</w:t>
      </w:r>
    </w:p>
    <w:p>
      <w:pPr>
        <w:pStyle w:val="BodyText"/>
      </w:pPr>
      <w:bookmarkStart w:id="41" w:name="x1-2011r15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Learned routing and compute controls moved from the main article. Full-endpoint rows route between</w:t>
      </w:r>
      <w:r>
        <w:t xml:space="preserve"> </w:t>
      </w:r>
      <w:r>
        <w:t xml:space="preserve">PDRF and RO-PDRF-Full; Lite-CF routes between PDRF and RO-PDRF-Lite. Prevention and retention are</w:t>
      </w:r>
      <w:r>
        <w:t xml:space="preserve"> </w:t>
      </w:r>
      <w:r>
        <w:t xml:space="preserve">hard-decision outcomes, whereas AUROC and NLL evaluate the emitted probability vector.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43"/>
    <w:bookmarkStart w:id="45" w:name="X893f876e4439ba441b8b4c6758992b117fd60a9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44" w:name="x1-30003"/>
      <w:bookmarkEnd w:id="44"/>
      <w:r>
        <w:t xml:space="preserve">Major-review all-row, utility and transport audits</w:t>
      </w:r>
    </w:p>
    <w:p>
      <w:pPr>
        <w:pStyle w:val="FirstParagraph"/>
      </w:pPr>
      <w:r>
        <w:t xml:space="preserve">The new major-review analyses reuse the frozen PDRF/RO-PDRF-Lite predictions whenever possible. The scale/group</w:t>
      </w:r>
      <w:r>
        <w:t xml:space="preserve"> </w:t>
      </w:r>
      <w:r>
        <w:t xml:space="preserve">transport script independently refits the same ten endpoint pairs only to generate missing prediction-level files.</w:t>
      </w:r>
      <w:r>
        <w:t xml:space="preserve"> </w:t>
      </w:r>
      <w:r>
        <w:t xml:space="preserve">Its formal scale-3/group-1 output contains the same 57,440 strict rows as the frozen run. Endpoint argmax</w:t>
      </w:r>
      <w:r>
        <w:t xml:space="preserve"> </w:t>
      </w:r>
      <w:r>
        <w:t xml:space="preserve">predictions agree for every row; the maximum absolute probability difference is 1</w:t>
      </w:r>
      <w:r>
        <w:t xml:space="preserve">.</w:t>
      </w:r>
      <w:r>
        <w:t xml:space="preserve">11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 and calibration</w:t>
      </w:r>
      <w:r>
        <w:t xml:space="preserve"> </w:t>
      </w:r>
      <w:r>
        <w:t xml:space="preserve">features and correctness labels match exactly. This numerical check is completed before transport results are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For each fitted pair, the all-row outcome is 0 for base better, 1 for endpoint-equivalent correctness and 2 for recovery</w:t>
      </w:r>
      <w:r>
        <w:t xml:space="preserve"> </w:t>
      </w:r>
      <w:r>
        <w:t xml:space="preserve">better. Calibration means are 36.1, 1,771.2 and 53.6 rows, respectively. Five-fold stratified group cross-fitting keeps all fault</w:t>
      </w:r>
      <w:r>
        <w:t xml:space="preserve"> </w:t>
      </w:r>
      <w:r>
        <w:t xml:space="preserve">realizations from an original observation together. The multinomial score is</w:t>
      </w:r>
      <w:r>
        <w:t xml:space="preserve"> </w:t>
      </w:r>
      <w:r>
        <w:t xml:space="preserve">p</w:t>
      </w:r>
      <w:r>
        <w:rPr>
          <w:vertAlign w:val="subscript"/>
        </w:rPr>
        <w:t xml:space="preserve">2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0</w:t>
      </w:r>
      <w:r>
        <w:t xml:space="preserve">. The two-stage score is</w:t>
      </w:r>
      <w:r>
        <w:t xml:space="preserve"> </w:t>
      </w:r>
      <w:r>
        <w:t xml:space="preserve">p</w:t>
      </w:r>
      <w:r>
        <w:t xml:space="preserve">(</w:t>
      </w:r>
      <w:r>
        <w:t xml:space="preserve">b≠r</w:t>
      </w:r>
      <w:r>
        <w:t xml:space="preserve">∣</w:t>
      </w:r>
      <w:r>
        <w:t xml:space="preserve">x</w:t>
      </w:r>
      <w:r>
        <w:t xml:space="preserve">)</w:t>
      </w:r>
      <w:r>
        <w:t xml:space="preserve">{</w:t>
      </w:r>
      <w:r>
        <w:t xml:space="preserve">2</w:t>
      </w:r>
      <w:r>
        <w:t xml:space="preserve">p</w:t>
      </w:r>
      <w:r>
        <w:t xml:space="preserve">(</w:t>
      </w:r>
      <w:r>
        <w:t xml:space="preserve">r</w:t>
      </w:r>
      <w:r>
        <w:t xml:space="preserve"> </w:t>
      </w:r>
      <w:r>
        <w:t xml:space="preserve">better</w:t>
      </w:r>
      <w:r>
        <w:t xml:space="preserve">∣</w:t>
      </w:r>
      <w:r>
        <w:t xml:space="preserve">b≠r,</w:t>
      </w:r>
      <w:r>
        <w:t xml:space="preserve">x</w:t>
      </w:r>
      <w:r>
        <w:t xml:space="preserve">)</w:t>
      </w:r>
      <w:r>
        <w:t xml:space="preserve"> </w:t>
      </w:r>
      <w:r>
        <w:t xml:space="preserve">−</w:t>
      </w:r>
      <w:r>
        <w:t xml:space="preserve"> </w:t>
      </w:r>
      <w:r>
        <w:t xml:space="preserve">1</w:t>
      </w:r>
      <w:r>
        <w:t xml:space="preserve">}</w:t>
      </w:r>
      <w:r>
        <w:t xml:space="preserve">. Its two factors are fitted in separate grouped pipelines. These models do not require</w:t>
      </w:r>
      <w:r>
        <w:t xml:space="preserve"> </w:t>
      </w:r>
      <w:r>
        <w:t xml:space="preserve">inverse-probability weighting because outcomes are observed on every calibration row; the issue is class sparsity, not missing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The complete Pareto audit ranks test rows within each fixed mechanism–fitted-pair cell at selection fractions 0, 0.025,</w:t>
      </w:r>
      <w:r>
        <w:t xml:space="preserve"> </w:t>
      </w:r>
      <w:r>
        <w:t xml:space="preserve">…</w:t>
      </w:r>
      <w:r>
        <w:t xml:space="preserve">,</w:t>
      </w:r>
      <w:r>
        <w:t xml:space="preserve"> </w:t>
      </w:r>
      <w:r>
        <w:t xml:space="preserve">1. Curves are descriptive and never select a submitted threshold. Calibration-matched comparisons choose</w:t>
      </w:r>
      <w:r>
        <w:t xml:space="preserve"> </w:t>
      </w:r>
      <w:r>
        <w:t xml:space="preserve">scalar/tree/random thresholds using out-of-fold calibration prevention or retention and apply them once to</w:t>
      </w:r>
      <w:r>
        <w:t xml:space="preserve"> </w:t>
      </w:r>
      <w:r>
        <w:t xml:space="preserve">test. The output files distinguish the matching target from the realized test rate, because transport prevents</w:t>
      </w:r>
      <w:r>
        <w:t xml:space="preserve"> </w:t>
      </w:r>
      <w:r>
        <w:t xml:space="preserve">exact matching. The empirical dominance file checks every averaged comparator point against the frozen</w:t>
      </w:r>
      <w:r>
        <w:t xml:space="preserve"> </w:t>
      </w:r>
      <w:r>
        <w:t xml:space="preserve">operating point; no comparator has both at least 94.7% prevention and at least 9.7% retention with one strict</w:t>
      </w:r>
      <w:r>
        <w:t xml:space="preserve"> </w:t>
      </w:r>
      <w:r>
        <w:t xml:space="preserve">inequality.</w:t>
      </w:r>
    </w:p>
    <w:p>
      <w:pPr>
        <w:pStyle w:val="BodyText"/>
      </w:pPr>
      <w:r>
        <w:t xml:space="preserve">Application-specific thresholds maximize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 </w:t>
      </w:r>
      <w:r>
        <w:t xml:space="preserve">rn</w:t>
      </w:r>
      <w:r>
        <w:rPr>
          <w:vertAlign w:val="subscript"/>
        </w:rPr>
        <w:t xml:space="preserve">H</w:t>
      </w:r>
      <w:r>
        <w:t xml:space="preserve"> </w:t>
      </w:r>
      <w:r>
        <w:t xml:space="preserve">on out-of-fold calibration predictions for</w:t>
      </w:r>
      <w:r>
        <w:t xml:space="preserve"> </w:t>
      </w:r>
      <w:r>
        <w:t xml:space="preserve">r</w:t>
      </w:r>
      <w:r>
        <w:t xml:space="preserve"> </w:t>
      </w:r>
      <w:r>
        <w:t xml:space="preserve">∈{</w:t>
      </w:r>
      <w:r>
        <w:t xml:space="preserve">1</w:t>
      </w:r>
      <w:r>
        <w:t xml:space="preserve">,</w:t>
      </w:r>
      <w:r>
        <w:t xml:space="preserve">2</w:t>
      </w:r>
      <w:r>
        <w:t xml:space="preserve">,</w:t>
      </w:r>
      <w:r>
        <w:t xml:space="preserve">5</w:t>
      </w:r>
      <w:r>
        <w:t xml:space="preserve">,</w:t>
      </w:r>
      <w:r>
        <w:t xml:space="preserve">10</w:t>
      </w:r>
      <w:r>
        <w:t xml:space="preserve">}</w:t>
      </w:r>
      <w:r>
        <w:t xml:space="preserve">. At</w:t>
      </w:r>
      <w:r>
        <w:t xml:space="preserve"> </w:t>
      </w:r>
      <w:r>
        <w:t xml:space="preserve">test ratio 1, all-row/two-stage utilities are +107</w:t>
      </w:r>
      <w:r>
        <w:t xml:space="preserve">.</w:t>
      </w:r>
      <w:r>
        <w:t xml:space="preserve">9</w:t>
      </w:r>
      <w:r>
        <w:t xml:space="preserve">∕</w:t>
      </w:r>
      <w:r>
        <w:t xml:space="preserve"> </w:t>
      </w:r>
      <w:r>
        <w:t xml:space="preserve">+ 110</w:t>
      </w:r>
      <w:r>
        <w:t xml:space="preserve">.</w:t>
      </w:r>
      <w:r>
        <w:t xml:space="preserve">6 per 10,000, below always recovery (+132</w:t>
      </w:r>
      <w:r>
        <w:t xml:space="preserve">.</w:t>
      </w:r>
      <w:r>
        <w:t xml:space="preserve">1). At</w:t>
      </w:r>
      <w:r>
        <w:t xml:space="preserve"> </w:t>
      </w:r>
      <w:r>
        <w:t xml:space="preserve">ratio 2, they are +30</w:t>
      </w:r>
      <w:r>
        <w:t xml:space="preserve">.</w:t>
      </w:r>
      <w:r>
        <w:t xml:space="preserve">8</w:t>
      </w:r>
      <w:r>
        <w:t xml:space="preserve">∕</w:t>
      </w:r>
      <w:r>
        <w:t xml:space="preserve"> </w:t>
      </w:r>
      <w:r>
        <w:t xml:space="preserve">+ 37</w:t>
      </w:r>
      <w:r>
        <w:t xml:space="preserve">.</w:t>
      </w:r>
      <w:r>
        <w:t xml:space="preserve">8, above always recovery (+15</w:t>
      </w:r>
      <w:r>
        <w:t xml:space="preserve">.</w:t>
      </w:r>
      <w:r>
        <w:t xml:space="preserve">5). At ratios 5 and 10 every non-base policy</w:t>
      </w:r>
      <w:r>
        <w:t xml:space="preserve"> </w:t>
      </w:r>
      <w:r>
        <w:t xml:space="preserve">is negative. The submitted analysis therefore reports a policy switch rather than extrapolating the ratio-1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Severity transport crosses calibration and test scales 1, 2 and 3. Sensor-group transport calibrates only on group 1 and</w:t>
      </w:r>
      <w:r>
        <w:t xml:space="preserve"> </w:t>
      </w:r>
      <w:r>
        <w:t xml:space="preserve">evaluates all four groups at scale 3. Mechanism transport includes leave-one-mechanism-out, Gaussian-only and five</w:t>
      </w:r>
      <w:r>
        <w:t xml:space="preserve"> </w:t>
      </w:r>
      <w:r>
        <w:t xml:space="preserve">family-mixture calibrations. The family-mixture audit resamples a fixed total calibration size with either equal 25% weights</w:t>
      </w:r>
      <w:r>
        <w:t xml:space="preserve"> </w:t>
      </w:r>
      <w:r>
        <w:t xml:space="preserve">or one mechanism at 70% and the remaining mechanisms at 10% each. These are selector-shift audits; endpoint training is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Temperature-feature sensitivity reconstructs uncalibrated endpoint probabilities from scaled probabilities and fitted</w:t>
      </w:r>
      <w:r>
        <w:t xml:space="preserve"> </w:t>
      </w:r>
      <w:r>
        <w:t xml:space="preserve">temperatures using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rPr>
          <w:vertAlign w:val="superscript"/>
        </w:rPr>
        <w:t xml:space="preserve">raw</w:t>
      </w:r>
      <w:r>
        <w:t xml:space="preserve"> </w:t>
      </w:r>
      <w:r>
        <w:t xml:space="preserve">∝</w:t>
      </w:r>
      <w:r>
        <w:t xml:space="preserve"> </w:t>
      </w:r>
      <w:r>
        <w:t xml:space="preserve">(</w:t>
      </w:r>
      <w:r>
        <w:t xml:space="preserve">p</w:t>
      </w:r>
      <w:r>
        <w:rPr>
          <w:vertAlign w:val="subscript"/>
        </w:rPr>
        <w:t xml:space="preserve">c</w:t>
      </w:r>
      <w:r>
        <w:rPr>
          <w:vertAlign w:val="superscript"/>
        </w:rPr>
        <w:t xml:space="preserve">scaled</w:t>
      </w:r>
      <w:r>
        <w:t xml:space="preserve">)</w:t>
      </w:r>
      <w:r>
        <w:rPr>
          <w:vertAlign w:val="superscript"/>
        </w:rPr>
        <w:t xml:space="preserve">T</w:t>
      </w:r>
      <w:r>
        <w:t xml:space="preserve">. Platt and isotonic mappings fit only out-of-fold conditional scores. Platt mapping is</w:t>
      </w:r>
      <w:r>
        <w:t xml:space="preserve"> </w:t>
      </w:r>
      <w:r>
        <w:t xml:space="preserve">monotone and leaves frozen decisions unchanged after threshold mapping; isotonic plateaus create ties and can</w:t>
      </w:r>
      <w:r>
        <w:t xml:space="preserve"> </w:t>
      </w:r>
      <w:r>
        <w:t xml:space="preserve">change decisions. Rank-normalized and class-conditional logistic controls use the same calibration rows. The</w:t>
      </w:r>
      <w:r>
        <w:t xml:space="preserve"> </w:t>
      </w:r>
      <w:r>
        <w:t xml:space="preserve">output reports preference AUROC, NLL, Brier score and 10-bin ECE separately from emitted-probability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The complete mechanism</w:t>
      </w:r>
      <w:r>
        <w:t xml:space="preserve">×</w:t>
      </w:r>
      <w:r>
        <w:t xml:space="preserve">batch</w:t>
      </w:r>
      <w:r>
        <w:t xml:space="preserve">×</w:t>
      </w:r>
      <w:r>
        <w:t xml:space="preserve">method matrix has one row per fitted pair, mechanism, acquisition batch and policy. It</w:t>
      </w:r>
      <w:r>
        <w:t xml:space="preserve"> </w:t>
      </w:r>
      <w:r>
        <w:t xml:space="preserve">includes accuracy, macro-AUROC, correction and harm opportunities, realized correction and harm counts,</w:t>
      </w:r>
      <w:r>
        <w:t xml:space="preserve"> </w:t>
      </w:r>
      <w:r>
        <w:t xml:space="preserve">prevention, retention, selection and utility. Batch summaries are reported as pooled observation-weighted</w:t>
      </w:r>
      <w:r>
        <w:t xml:space="preserve"> </w:t>
      </w:r>
      <w:r>
        <w:t xml:space="preserve">performance, equal-batch means, worst batch and pooled Batches 8–9 versus Batch 10. All</w:t>
      </w:r>
      <w:r>
        <w:t xml:space="preserve"> </w:t>
      </w:r>
      <w:r>
        <w:t xml:space="preserve">t</w:t>
      </w:r>
      <w:r>
        <w:t xml:space="preserve"> </w:t>
      </w:r>
      <w:r>
        <w:t xml:space="preserve">intervals are labelled</w:t>
      </w:r>
      <w:r>
        <w:t xml:space="preserve"> </w:t>
      </w:r>
      <w:r>
        <w:t xml:space="preserve">fitting-variation intervals and are accompanied by medians, interquartile ranges and full ranges in the CSV source</w:t>
      </w:r>
      <w:r>
        <w:t xml:space="preserve"> </w:t>
      </w:r>
      <w:r>
        <w:t xml:space="preserve">data.</w:t>
      </w:r>
    </w:p>
    <w:bookmarkEnd w:id="45"/>
    <w:bookmarkStart w:id="79" w:name="X053ecf3c2742f8761add5c5822a43135ed72008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46" w:name="x1-40004"/>
      <w:bookmarkEnd w:id="46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47" w:name="x1-4001r16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49" w:name="x1-4002r17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51" w:name="x1-4003r18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53" w:name="x1-4004r19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55" w:name="x1-4005r20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57" w:name="x1-4006r21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59" w:name="x1-4007r22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61" w:name="x1-4008r23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63" w:name="x1-4009r24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65" w:name="x1-4010r25"/>
      <w:bookmarkEnd w:id="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6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67" w:name="x1-4011r26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69" w:name="x1-4012r27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 data</w:t>
      </w:r>
      <w:r>
        <w:t xml:space="preserve"> </w:t>
      </w:r>
      <w:r>
        <w:t xml:space="preserve">loading. The runtime is an Intel Core i5-13500H with PyTorch 2.12.1+cpu. The primary Lite-CF timing audit fixes</w:t>
      </w:r>
      <w:r>
        <w:t xml:space="preserve"> </w:t>
      </w:r>
      <w:r>
        <w:t xml:space="preserve">PyTorch intra-op threads first at one and then at 12; inter-op configuration and all other settings remain</w:t>
      </w:r>
      <w:r>
        <w:t xml:space="preserve"> </w:t>
      </w:r>
      <w:r>
        <w:t xml:space="preserve">unchanged.</w:t>
      </w:r>
    </w:p>
    <w:p>
      <w:pPr>
        <w:pStyle w:val="BodyText"/>
      </w:pPr>
      <w:bookmarkStart w:id="71" w:name="x1-4013r28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1 latency (ms)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4,364 latency (ms)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Throughput (obs/s)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355644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53332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976286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165789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986047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122961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Direct CPU timing for the primary Lite-CF endpoint chain. Each entry is the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</w:t>
      </w:r>
      <w:r>
        <w:t xml:space="preserve"> </w:t>
      </w:r>
      <w:r>
        <w:t xml:space="preserve">of the per-seed median over 10 fitted endpoint pairs. Every median follows three warm-up and seven timed calls;</w:t>
      </w:r>
      <w:r>
        <w:t xml:space="preserve"> </w:t>
      </w:r>
      <w:r>
        <w:t xml:space="preserve">loading is excluded. These workstation measurements are not embedded or real-time guarantees.</w:t>
      </w:r>
    </w:p>
    <w:p>
      <w:pPr>
        <w:pStyle w:val="BodyText"/>
      </w:pPr>
      <w:bookmarkStart w:id="73" w:name="x1-4014r29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Threads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Batch-one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4,364-row batch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Throughput (obs/s)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</w:t>
                  </w:r>
                  <w:r>
                    <w:t xml:space="preserve">±</w:t>
                  </w: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9.35</w:t>
                  </w:r>
                  <w:r>
                    <w:t xml:space="preserve">±</w:t>
                  </w: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488,949</w:t>
                  </w:r>
                  <w:r>
                    <w:t xml:space="preserve">±</w:t>
                  </w:r>
                  <w:r>
                    <w:t xml:space="preserve">132,367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</w:t>
                  </w:r>
                  <w:r>
                    <w:t xml:space="preserve">±</w:t>
                  </w: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  <w:r>
                    <w:t xml:space="preserve">±</w:t>
                  </w: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853,406</w:t>
                  </w:r>
                  <w:r>
                    <w:t xml:space="preserve">±</w:t>
                  </w:r>
                  <w:r>
                    <w:t xml:space="preserve">93,267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1.553</w:t>
                  </w:r>
                  <w:r>
                    <w:t xml:space="preserve">±</w:t>
                  </w:r>
                  <w:r>
                    <w:t xml:space="preserve">0.447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11.60</w:t>
                  </w:r>
                  <w:r>
                    <w:t xml:space="preserve">±</w:t>
                  </w: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378,030</w:t>
                  </w:r>
                  <w:r>
                    <w:t xml:space="preserve">±</w:t>
                  </w:r>
                  <w:r>
                    <w:t xml:space="preserve">26,359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  <w:r>
                    <w:t xml:space="preserve">±</w:t>
                  </w: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</w:t>
                  </w:r>
                  <w:r>
                    <w:t xml:space="preserve">±</w:t>
                  </w: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1,087,068</w:t>
                  </w:r>
                  <w:r>
                    <w:t xml:space="preserve">±</w:t>
                  </w:r>
                  <w:r>
                    <w:t xml:space="preserve">170,777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  <w:r>
                    <w:t xml:space="preserve">±</w:t>
                  </w: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3.65</w:t>
                  </w:r>
                  <w:r>
                    <w:t xml:space="preserve">±</w:t>
                  </w: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1,235,798</w:t>
                  </w:r>
                  <w:r>
                    <w:t xml:space="preserve">±</w:t>
                  </w:r>
                  <w:r>
                    <w:t xml:space="preserve">257,809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2.471</w:t>
                  </w:r>
                  <w:r>
                    <w:t xml:space="preserve">±</w:t>
                  </w: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10.21</w:t>
                  </w:r>
                  <w:r>
                    <w:t xml:space="preserve">±</w:t>
                  </w:r>
                  <w:r>
                    <w:t xml:space="preserve">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440,821</w:t>
                  </w:r>
                  <w:r>
                    <w:t xml:space="preserve">±</w:t>
                  </w:r>
                  <w:r>
                    <w:t xml:space="preserve">76,698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Fixed-thread CPU sensitivity for the primary endpoint chain.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of</w:t>
      </w:r>
      <w:r>
        <w:t xml:space="preserve"> </w:t>
      </w:r>
      <w:r>
        <w:t xml:space="preserve">the per-seed medians across 10 fitted pairs. Every median uses three warm-up and seven timed calls. The one-thread</w:t>
      </w:r>
      <w:r>
        <w:t xml:space="preserve"> </w:t>
      </w:r>
      <w:r>
        <w:t xml:space="preserve">and 12-thread rows are separate controlled runs and are not combined.</w:t>
      </w:r>
    </w:p>
    <w:p>
      <w:pPr>
        <w:pStyle w:val="BodyText"/>
      </w:pPr>
      <w:bookmarkStart w:id="75" w:name="x1-4015r30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77" w:name="x1-4016r31"/>
      <w:bookmarkEnd w:id="7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8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79"/>
    <w:bookmarkStart w:id="95" w:name="faultsubset-batch-and-class-result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80" w:name="x1-50005"/>
      <w:bookmarkEnd w:id="80"/>
      <w:r>
        <w:t xml:space="preserve">Fault-subset, batch and class results</w:t>
      </w:r>
    </w:p>
    <w:p>
      <w:pPr>
        <w:pStyle w:val="FirstParagraph"/>
      </w:pPr>
      <w:bookmarkStart w:id="81" w:name="x1-5001r32"/>
      <w:bookmarkEnd w:id="8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2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8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83" w:name="x1-5002r33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85" w:name="x1-5003r34"/>
      <w:bookmarkEnd w:id="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6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Severity audit against the empirical training distribution at scales 1, 3 and 5. Percentile shifts are absolute</w:t>
      </w:r>
      <w:r>
        <w:t xml:space="preserve"> </w:t>
      </w:r>
      <w:r>
        <w:t xml:space="preserve">changes in empirical cumulative probability. “Within training range” means the empirical minimum–maximum after</w:t>
      </w:r>
      <w:r>
        <w:t xml:space="preserve"> </w:t>
      </w:r>
      <w:r>
        <w:t xml:space="preserve">training-only standardization and clipping, not a physical sensor limit. The formal scale-3 setting is a severe stress</w:t>
      </w:r>
      <w:r>
        <w:t xml:space="preserve"> </w:t>
      </w:r>
      <w:r>
        <w:t xml:space="preserve">test.</w:t>
      </w:r>
    </w:p>
    <w:p>
      <w:pPr>
        <w:pStyle w:val="BodyText"/>
      </w:pPr>
      <w:bookmarkStart w:id="87" w:name="x1-5004r35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89" w:name="x1-5005r36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91" w:name="x1-5006r37"/>
      <w:bookmarkEnd w:id="9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9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93" w:name="x1-5007r38"/>
      <w:bookmarkEnd w:id="9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4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9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95"/>
    <w:bookmarkStart w:id="99" w:name="diagnosticquality-control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96" w:name="x1-60006"/>
      <w:bookmarkEnd w:id="96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97" w:name="x1-6001r39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99"/>
    <w:bookmarkStart w:id="105" w:name="sensor-grouping-and-unseen-groups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100" w:name="x1-70007"/>
      <w:bookmarkEnd w:id="100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101" w:name="x1-7001r40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2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103" w:name="x1-7002r41"/>
      <w:bookmarkEnd w:id="10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4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10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105"/>
    <w:bookmarkStart w:id="109" w:name="fault-prevalence-severity-and-location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106" w:name="x1-80008"/>
      <w:bookmarkEnd w:id="106"/>
      <w:r>
        <w:t xml:space="preserve">Fault prevalence, severity and location</w:t>
      </w:r>
    </w:p>
    <w:p>
      <w:pPr>
        <w:pStyle w:val="FirstParagraph"/>
      </w:pPr>
      <w:r>
        <w:t xml:space="preserve">The formal scale-3 corruption is deliberately severe. To test whether the safety finding depends on that severity, we repeated</w:t>
      </w:r>
      <w:r>
        <w:t xml:space="preserve"> </w:t>
      </w:r>
      <w:r>
        <w:t xml:space="preserve">the strict test realization at scale 1 while retaining the scale-3-fitted endpoints, temperature scalars, selector coefficients and</w:t>
      </w:r>
      <w:r>
        <w:t xml:space="preserve"> </w:t>
      </w:r>
      <w:r>
        <w:t xml:space="preserve">thresholds. No endpoint or selector was refitted, and no threshold was retuned on scale-1 outcomes. The mild intervention</w:t>
      </w:r>
      <w:r>
        <w:t xml:space="preserve"> </w:t>
      </w:r>
      <w:r>
        <w:t xml:space="preserve">improved the absolute performance of all endpoints but reduced the number of useful recovery opportunities. Lite-CF</w:t>
      </w:r>
      <w:r>
        <w:t xml:space="preserve"> </w:t>
      </w:r>
      <w:r>
        <w:t xml:space="preserve">retained positive equal-cost utility, although its utility and correction retention were smaller than at scale</w:t>
      </w:r>
      <w:r>
        <w:t xml:space="preserve"> </w:t>
      </w:r>
      <w:r>
        <w:t xml:space="preserve">3.</w:t>
      </w:r>
    </w:p>
    <w:p>
      <w:pPr>
        <w:pStyle w:val="BodyText"/>
      </w:pPr>
      <w:bookmarkStart w:id="107" w:name="x1-8001r42"/>
      <w:bookmarkEnd w:id="1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8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</w:tbl>
          <w:bookmarkEnd w:id="1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Mild-versus-formal severity audit on the strict subset. Values are equal-weight means over four controlled</w:t>
      </w:r>
      <w:r>
        <w:t xml:space="preserve"> </w:t>
      </w:r>
      <w:r>
        <w:t xml:space="preserve">mechanisms and 10 fitted endpoint pairs.</w:t>
      </w:r>
      <w:r>
        <w:t xml:space="preserve"> </w:t>
      </w:r>
      <w:r>
        <w:t xml:space="preserve">U∕</w:t>
      </w:r>
      <w:r>
        <w:t xml:space="preserve">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equal correction and harm values and no pass penalty.</w:t>
      </w:r>
    </w:p>
    <w:p>
      <w:pPr>
        <w:pStyle w:val="BodyText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109"/>
    <w:bookmarkStart w:id="111" w:name="score-semantics-and-directional-audit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110" w:name="x1-90009"/>
      <w:bookmarkEnd w:id="110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111"/>
    <w:bookmarkStart w:id="115" w:name="hyperparameter-sensitivity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12" w:name="x1-1000010"/>
      <w:bookmarkEnd w:id="112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113" w:name="x1-10001r43"/>
      <w:bookmarkEnd w:id="1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4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1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115"/>
    <w:bookmarkStart w:id="125" w:name="X677d708d20320dd3341af513037832429446924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16" w:name="x1-1100011"/>
      <w:bookmarkEnd w:id="116"/>
      <w:r>
        <w:t xml:space="preserve">Independent hydraulic single-rig sensitivity analysis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17" w:name="x1-11001r44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18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  <w:tc>
          <w:tcPr/>
          <w:bookmarkStart w:id="119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1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20" w:name="x1-11002r45"/>
      <w:bookmarkEnd w:id="12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21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21"/>
          <w:p>
            <w:pPr>
              <w:spacing w:before="0" w:after="0" w:line="240" w:lineRule="auto"/>
            </w:pPr>
          </w:p>
        </w:tc>
        <w:tc>
          <w:tcPr/>
          <w:bookmarkStart w:id="122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23" w:name="x1-11003r46"/>
      <w:bookmarkEnd w:id="1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4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25"/>
    <w:bookmarkStart w:id="131" w:name="X3240f72ee276063f78f9afd20dcf4d765385ecc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26" w:name="x1-1200012"/>
      <w:bookmarkEnd w:id="126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27" w:name="x1-12001r47"/>
      <w:bookmarkEnd w:id="1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8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29" w:name="x1-12002r48"/>
      <w:bookmarkEnd w:id="1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0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31"/>
    <w:bookmarkStart w:id="157" w:name="X6b65fda40896cada606db5cb1e8c8664f32fcb6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32" w:name="x1-1300013"/>
      <w:bookmarkEnd w:id="132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33" w:name="x1-13001r49"/>
      <w:bookmarkEnd w:id="1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4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35" w:name="x1-13002r50"/>
      <w:bookmarkEnd w:id="13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6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3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37" w:name="x1-13003r51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39" w:name="x1-13004r52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41" w:name="x1-13005r53"/>
      <w:bookmarkEnd w:id="1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2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47" w:name="x1-13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43" w:name="Xeda6489b52b42db5bc1a8aba4771283f9f596c4"/>
            <w:bookmarkEnd w:id="14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47"/>
    <w:bookmarkStart w:id="152" w:name="x1-13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48" w:name="X14e9becebe1e677a195bca01e31fbab25d08cb6"/>
            <w:bookmarkEnd w:id="14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52"/>
    <w:p>
      <w:pPr>
        <w:pStyle w:val="BodyText"/>
      </w:pPr>
      <w:bookmarkStart w:id="153" w:name="x1-13008r54"/>
      <w:bookmarkEnd w:id="1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4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55" w:name="x1-13009r55"/>
      <w:bookmarkEnd w:id="1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57"/>
    <w:bookmarkStart w:id="172" w:name="Xf4120212549880c6f761f813d869c8dde8a7d2b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58" w:name="x1-1400014"/>
      <w:bookmarkEnd w:id="158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59" w:name="x1-14001r56"/>
      <w:bookmarkEnd w:id="1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61" w:name="x1-14002r57"/>
      <w:bookmarkEnd w:id="1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63" w:name="x1-14003r58"/>
      <w:bookmarkEnd w:id="1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4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65" w:name="x1-14004r59"/>
      <w:bookmarkEnd w:id="1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6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71" w:name="x1-14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67" w:name="Xec95cabfc16f09e0d1455d0476b40c9251da864"/>
            <w:bookmarkEnd w:id="16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71"/>
    <w:bookmarkEnd w:id="172"/>
    <w:bookmarkStart w:id="176" w:name="scoregeometry-sensitivity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73" w:name="x1-1500015"/>
      <w:bookmarkEnd w:id="173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74" w:name="x1-15001r60"/>
      <w:bookmarkEnd w:id="1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5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76"/>
    <w:bookmarkStart w:id="180" w:name="hydraulic-nointerpolation-audit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77" w:name="x1-1600016"/>
      <w:bookmarkEnd w:id="177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78" w:name="x1-16001r61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80"/>
    <w:bookmarkStart w:id="212" w:name="Xe64f823acd1b9504c5af5fe47a9c6e086e49b26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81" w:name="x1-1700017"/>
      <w:bookmarkEnd w:id="181"/>
      <w:r>
        <w:t xml:space="preserve">Real-operational AHU direct-diagnosis boundary analysis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S62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82" w:name="x1-17001r62"/>
      <w:bookmarkEnd w:id="18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3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8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84" w:name="x1-17002r63"/>
      <w:bookmarkEnd w:id="18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5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8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86" w:name="x1-17003r64"/>
      <w:bookmarkEnd w:id="18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7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8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88" w:name="x1-17004r65"/>
      <w:bookmarkEnd w:id="18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9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8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S63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90" w:name="x1-17005r66"/>
      <w:bookmarkEnd w:id="19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1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9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S67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92" w:name="x1-17006r67"/>
      <w:bookmarkEnd w:id="19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3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9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94" w:name="x1-17007r68"/>
      <w:bookmarkEnd w:id="19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5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9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200" w:name="x1-17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96" w:name="X6b33f746004aa39f530f86014b516ffaa230d04"/>
            <w:bookmarkEnd w:id="19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200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S69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201" w:name="x1-17009r69"/>
      <w:bookmarkEnd w:id="2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2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20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203" w:name="x1-17010r70"/>
      <w:bookmarkEnd w:id="20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4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20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205" w:name="x1-17011r71"/>
      <w:bookmarkEnd w:id="20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6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2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211" w:name="x1-17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7" w:name="X66795803584d3a9da60120d1a82c36daaeed758"/>
            <w:bookmarkEnd w:id="20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211"/>
    <w:bookmarkEnd w:id="212"/>
    <w:bookmarkStart w:id="236" w:name="X9f66ad2798df63c232dca56e578c408d5517577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13" w:name="x1-1800018"/>
      <w:bookmarkEnd w:id="213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S72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214" w:name="x1-18001r72"/>
      <w:bookmarkEnd w:id="21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5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21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16" w:name="x1-18002r73"/>
      <w:bookmarkEnd w:id="21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7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1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18" w:name="x1-18003r74"/>
      <w:bookmarkEnd w:id="21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9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1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20" w:name="x1-18004r75"/>
      <w:bookmarkEnd w:id="22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1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2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22" w:name="x1-18005r76"/>
      <w:bookmarkEnd w:id="22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3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28" w:name="x1-18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24" w:name="X3a1f417d54c90f38d88e70cf1beb43c8ca90cca"/>
            <w:bookmarkEnd w:id="22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28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29" w:name="x1-18007r77"/>
      <w:bookmarkEnd w:id="2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0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35" w:name="x1-18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31" w:name="X0e69bb857b8943688307804e0b13295031a8581"/>
            <w:bookmarkEnd w:id="23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35"/>
    <w:bookmarkEnd w:id="236"/>
    <w:bookmarkStart w:id="248" w:name="Xda201bf6672fdf04fcf8c5c079ab95e6263b622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37" w:name="x1-1900019"/>
      <w:bookmarkEnd w:id="237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38" w:name="x1-19001r78"/>
      <w:bookmarkEnd w:id="2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9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40" w:name="x1-19002r79"/>
      <w:bookmarkEnd w:id="24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1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4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42" w:name="x1-19003r80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44" w:name="x1-19004r81"/>
      <w:bookmarkEnd w:id="24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5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4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46" w:name="x1-19005r82"/>
      <w:bookmarkEnd w:id="24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7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4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48"/>
    <w:bookmarkStart w:id="256" w:name="X4c44e3559c3e75cf6bad14b46e1ec69ad17387c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49" w:name="x1-2000020"/>
      <w:bookmarkEnd w:id="249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50" w:name="x1-20001r83"/>
      <w:bookmarkEnd w:id="25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1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5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52" w:name="x1-20002r84"/>
      <w:bookmarkEnd w:id="25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3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5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54" w:name="x1-20003r85"/>
      <w:bookmarkEnd w:id="25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5" w:name="TBL-8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5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S85:</w:t>
      </w:r>
      <w:r>
        <w:t xml:space="preserve"> </w:t>
      </w:r>
      <w:r>
        <w:t xml:space="preserve">Nearest-training-cycle audit in standardized 240-dimensional hydraulic feature space.</w:t>
      </w:r>
    </w:p>
    <w:bookmarkEnd w:id="256"/>
    <w:bookmarkStart w:id="274" w:name="X2422d8abbca0b24ed49df6949ead35d55d7fbf5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57" w:name="x1-2100021"/>
      <w:bookmarkEnd w:id="257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58" w:name="x1-21001r86"/>
      <w:bookmarkEnd w:id="25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9" w:name="TBL-8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5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S86:</w:t>
      </w:r>
      <w:r>
        <w:t xml:space="preserve"> </w:t>
      </w:r>
      <w:r>
        <w:t xml:space="preserve">Chemical fixed-ensemble probability quality under probability and logit averaging.</w:t>
      </w:r>
    </w:p>
    <w:bookmarkStart w:id="264" w:name="x1-21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0" w:name="Xb4fbd86cfb18846f699e38b3225243d2fb9c3d5"/>
            <w:bookmarkEnd w:id="26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64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65" w:name="x1-21003r87"/>
      <w:bookmarkEnd w:id="2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6" w:name="TBL-9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S87: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67" w:name="x1-21004r88"/>
      <w:bookmarkEnd w:id="2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8" w:name="TBL-9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S88: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73" w:name="x1-21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9" w:name="X228bb6e5c92f229a2a3cbe4b635ea8ac16bc1ed"/>
            <w:bookmarkEnd w:id="269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73"/>
    <w:bookmarkEnd w:id="274"/>
    <w:bookmarkStart w:id="302" w:name="archived-originalprotocol-analyses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75" w:name="x1-2200022"/>
      <w:bookmarkEnd w:id="275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76" w:name="x1-22001r89"/>
      <w:bookmarkEnd w:id="2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7" w:name="TBL-9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S89: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78" w:name="x1-22002r90"/>
      <w:bookmarkEnd w:id="2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9" w:name="TBL-9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S90: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80" w:name="x1-22003r91"/>
      <w:bookmarkEnd w:id="28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1" w:name="TBL-9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8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S91: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86" w:name="x1-22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2" w:name="X940203e12ada9d4be95ebff6f4c623a4797bed2"/>
            <w:bookmarkEnd w:id="28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86"/>
    <w:bookmarkStart w:id="291" w:name="x1-22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7" w:name="X9178c56c7d5bfdc1aafdecdd469785d4d62ae00"/>
            <w:bookmarkEnd w:id="28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91"/>
    <w:bookmarkStart w:id="296" w:name="x1-22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92" w:name="X1141f10bc0af46dfd5b303139eabc0871fa0a5e"/>
            <w:bookmarkEnd w:id="29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96"/>
    <w:bookmarkStart w:id="301" w:name="x1-22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97" w:name="X1dc45eca63888e8e1d43316cfd64bf72fda671c"/>
            <w:bookmarkEnd w:id="29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301"/>
    <w:bookmarkEnd w:id="302"/>
    <w:bookmarkStart w:id="307" w:name="external-publicdata-feasibility-audit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303" w:name="x1-2300023"/>
      <w:bookmarkEnd w:id="303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304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305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306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307"/>
    <w:bookmarkStart w:id="309" w:name="reproducibility-and-scope"/>
    <w:p>
      <w:pPr>
        <w:pStyle w:val="Heading3"/>
      </w:pPr>
      <w:r>
        <w:t xml:space="preserve">24</w:t>
      </w:r>
      <w:r>
        <w:t xml:space="preserve"> </w:t>
      </w:r>
      <w:r>
        <w:t xml:space="preserve"> </w:t>
      </w:r>
      <w:bookmarkStart w:id="308" w:name="x1-2400024"/>
      <w:bookmarkEnd w:id="308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,</w:t>
      </w:r>
      <w:r>
        <w:t xml:space="preserve"> </w:t>
      </w:r>
      <w:r>
        <w:t xml:space="preserve">run_cee_strict88_additional_audits.py</w:t>
      </w:r>
      <w:r>
        <w:t xml:space="preserve">,</w:t>
      </w:r>
      <w:r>
        <w:t xml:space="preserve"> </w:t>
      </w:r>
      <w:r>
        <w:t xml:space="preserve">analyse_cee_strict88_revision.py</w:t>
      </w:r>
      <w:r>
        <w:t xml:space="preserve">,</w:t>
      </w:r>
      <w:r>
        <w:t xml:space="preserve"> </w:t>
      </w:r>
      <w:r>
        <w:t xml:space="preserve">analyse_cee_major_router_audits.py</w:t>
      </w:r>
      <w:r>
        <w:t xml:space="preserve">,</w:t>
      </w:r>
      <w:r>
        <w:t xml:space="preserve"> </w:t>
      </w:r>
      <w:r>
        <w:t xml:space="preserve">run_cee_major_severity_transport.py</w:t>
      </w:r>
      <w:r>
        <w:t xml:space="preserve">,</w:t>
      </w:r>
      <w:r>
        <w:t xml:space="preserve"> </w:t>
      </w:r>
      <w:r>
        <w:t xml:space="preserve">analyse_cee_major_shift_audits.py</w:t>
      </w:r>
      <w:r>
        <w:t xml:space="preserve">,</w:t>
      </w:r>
      <w:r>
        <w:t xml:space="preserve"> </w:t>
      </w:r>
      <w:r>
        <w:t xml:space="preserve">make_cee_q1_figures.py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make_cee_major_revision_figures.py</w:t>
      </w:r>
      <w:r>
        <w:t xml:space="preserve">.</w:t>
      </w:r>
      <w:r>
        <w:t xml:space="preserve"> </w:t>
      </w:r>
      <w:r>
        <w:t xml:space="preserve">The machine-readable frozen design is</w:t>
      </w:r>
      <w:r>
        <w:t xml:space="preserve"> </w:t>
      </w:r>
      <w:r>
        <w:t xml:space="preserve">cee_cf10_r2_lite_config.json</w:t>
      </w:r>
      <w:r>
        <w:t xml:space="preserve">; added designs are</w:t>
      </w:r>
      <w:r>
        <w:t xml:space="preserve"> </w:t>
      </w:r>
      <w:r>
        <w:t xml:space="preserve">source_data/strict88_additional_audits_design.json</w:t>
      </w:r>
      <w:r>
        <w:t xml:space="preserve">,</w:t>
      </w:r>
      <w:r>
        <w:t xml:space="preserve"> </w:t>
      </w:r>
      <w:r>
        <w:t xml:space="preserve">source_data/major_router_audit_design.json</w:t>
      </w:r>
      <w:r>
        <w:t xml:space="preserve"> </w:t>
      </w:r>
      <w:r>
        <w:t xml:space="preserve">and</w:t>
      </w:r>
      <w:r>
        <w:t xml:space="preserve"> </w:t>
      </w:r>
      <w:r>
        <w:t xml:space="preserve">source_data/major_shift_design.json</w:t>
      </w:r>
      <w:r>
        <w:t xml:space="preserve">. 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 outputs, selector thresholds, full Pareto curves, all-row probabilities, matched controls,</w:t>
      </w:r>
      <w:r>
        <w:t xml:space="preserve"> </w:t>
      </w:r>
      <w:r>
        <w:t xml:space="preserve">utility thresholds, mechanism/severity/group/batch transport, engineering event efficiency and fixed-thread timings are</w:t>
      </w:r>
      <w:r>
        <w:t xml:space="preserve"> </w:t>
      </w:r>
      <w:r>
        <w:t xml:space="preserve">stored under</w:t>
      </w:r>
      <w:r>
        <w:t xml:space="preserve"> </w:t>
      </w:r>
      <w:r>
        <w:t xml:space="preserve">source_data/q1_*</w:t>
      </w:r>
      <w:r>
        <w:t xml:space="preserve">,</w:t>
      </w:r>
      <w:r>
        <w:t xml:space="preserve"> </w:t>
      </w:r>
      <w:r>
        <w:t xml:space="preserve">source_data/strict88_*</w:t>
      </w:r>
      <w:r>
        <w:t xml:space="preserve"> </w:t>
      </w:r>
      <w:r>
        <w:t xml:space="preserve">and</w:t>
      </w:r>
      <w:r>
        <w:t xml:space="preserve"> </w:t>
      </w:r>
      <w:r>
        <w:t xml:space="preserve">source_data/major_*</w:t>
      </w:r>
      <w:r>
        <w:t xml:space="preserve">. The routing API emits the</w:t>
      </w:r>
      <w:r>
        <w:t xml:space="preserve"> </w:t>
      </w:r>
      <w:r>
        <w:t xml:space="preserve">selected probability vector by default and, when requested, also returns endpoint identity and the conditional preference</w:t>
      </w:r>
      <w:r>
        <w:t xml:space="preserve"> </w:t>
      </w:r>
      <w:r>
        <w:t xml:space="preserve">score. Figures use Python/matplotlib exclusively. Editable SVG/PDF figures and 600-dpi TIFFs are included. All legacy</w:t>
      </w:r>
      <w:r>
        <w:t xml:space="preserve"> </w:t>
      </w:r>
      <w:r>
        <w:t xml:space="preserve">selector baselines, negative analyses and superseded estimands remain auditable.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309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8" Type="http://schemas.openxmlformats.org/officeDocument/2006/relationships/image" Target="media/rId288.png"/><Relationship Id="rId283" Type="http://schemas.openxmlformats.org/officeDocument/2006/relationships/image" Target="media/rId283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197" Type="http://schemas.openxmlformats.org/officeDocument/2006/relationships/image" Target="media/rId197.png"/><Relationship Id="rId208" Type="http://schemas.openxmlformats.org/officeDocument/2006/relationships/image" Target="media/rId208.png"/><Relationship Id="rId225" Type="http://schemas.openxmlformats.org/officeDocument/2006/relationships/image" Target="media/rId225.png"/><Relationship Id="rId232" Type="http://schemas.openxmlformats.org/officeDocument/2006/relationships/image" Target="media/rId232.png"/><Relationship Id="rId261" Type="http://schemas.openxmlformats.org/officeDocument/2006/relationships/image" Target="media/rId261.png"/><Relationship Id="rId270" Type="http://schemas.openxmlformats.org/officeDocument/2006/relationships/image" Target="media/rId270.png"/><Relationship Id="rId149" Type="http://schemas.openxmlformats.org/officeDocument/2006/relationships/image" Target="media/rId149.png"/><Relationship Id="rId168" Type="http://schemas.openxmlformats.org/officeDocument/2006/relationships/image" Target="media/rId168.png"/><Relationship Id="rId144" Type="http://schemas.openxmlformats.org/officeDocument/2006/relationships/image" Target="media/rId144.png"/><Relationship Id="rId304" Type="http://schemas.openxmlformats.org/officeDocument/2006/relationships/hyperlink" Target="https://data.nasa.gov/dataset/modeling-detection-and-disambiguation-of-sensor-faults-for-aerospace-applications" TargetMode="External"/><Relationship Id="rId305" Type="http://schemas.openxmlformats.org/officeDocument/2006/relationships/hyperlink" Target="https://doi.org/10.5281/zenodo.8195068" TargetMode="External"/><Relationship Id="rId306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304" Type="http://schemas.openxmlformats.org/officeDocument/2006/relationships/hyperlink" Target="https://data.nasa.gov/dataset/modeling-detection-and-disambiguation-of-sensor-faults-for-aerospace-applications" TargetMode="External"/><Relationship Id="rId305" Type="http://schemas.openxmlformats.org/officeDocument/2006/relationships/hyperlink" Target="https://doi.org/10.5281/zenodo.8195068" TargetMode="External"/><Relationship Id="rId306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Support-gated selective recovery under controlled multi-sensor corruption</dc:title>
  <dc:creator>Riyang Luo</dc:creator>
  <dc:language>en-US</dc:language>
  <cp:keywords/>
  <dcterms:created xsi:type="dcterms:W3CDTF">2026-07-15T08:14:26Z</dcterms:created>
  <dcterms:modified xsi:type="dcterms:W3CDTF">2026-07-15T08:14:26Z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