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f3ee9ebdc2059a05d82a64257fc01aab280c6a2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group can remain in the inference path after its representation has</w:t>
      </w:r>
      <w:r>
        <w:t xml:space="preserve"> </w:t>
      </w:r>
      <w:r>
        <w:t xml:space="preserve">been corrupted. A recovery model may then correct a wrong decision or overturn a correct</w:t>
      </w:r>
      <w:r>
        <w:t xml:space="preserve"> </w:t>
      </w:r>
      <w:r>
        <w:t xml:space="preserve">one. We address this trade-off with paired clean–faulted training and a cross-fitted router</w:t>
      </w:r>
      <w:r>
        <w:t xml:space="preserve"> </w:t>
      </w:r>
      <w:r>
        <w:t xml:space="preserve">that selects between a bounded base model and a recovery-supervised endpoint without</w:t>
      </w:r>
      <w:r>
        <w:t xml:space="preserve"> </w:t>
      </w:r>
      <w:r>
        <w:t xml:space="preserve">test labels or fault-type inputs. The primary deployment objective is hard-decision safety,</w:t>
      </w:r>
      <w:r>
        <w:t xml:space="preserve"> </w:t>
      </w:r>
      <w:r>
        <w:t xml:space="preserve">measured by prevented negative transfers, retained corrections and net utility; ranking and</w:t>
      </w:r>
      <w:r>
        <w:t xml:space="preserve"> </w:t>
      </w:r>
      <w:r>
        <w:t xml:space="preserve">probability quality are secondary outcomes. On 1,436 held-out observations per mechanism</w:t>
      </w:r>
      <w:r>
        <w:t xml:space="preserve"> </w:t>
      </w:r>
      <w:r>
        <w:t xml:space="preserve">with a controlled fault that reached an available group, the two-pass Lite-CF router prevented</w:t>
      </w:r>
      <w:r>
        <w:t xml:space="preserve"> </w:t>
      </w:r>
      <w:r>
        <w:t xml:space="preserve">94.7% of recovery-induced negative transfers while retaining 9.7% of available corrections.</w:t>
      </w:r>
      <w:r>
        <w:t xml:space="preserve"> </w:t>
      </w:r>
      <w:r>
        <w:t xml:space="preserve">Its mean macro-AUROC was 0.8151, compared with 0.8115 for the base model and 0.8175</w:t>
      </w:r>
      <w:r>
        <w:t xml:space="preserve"> </w:t>
      </w:r>
      <w:r>
        <w:t xml:space="preserve">for unconditional recovery. Mechanism-fixed intervals supported a positive Lite-CF effect for</w:t>
      </w:r>
      <w:r>
        <w:t xml:space="preserve"> </w:t>
      </w:r>
      <w:r>
        <w:t xml:space="preserve">Gaussian and stuck-at corruption, but not uniformly for offset or drift. With equal values</w:t>
      </w:r>
      <w:r>
        <w:t xml:space="preserve"> </w:t>
      </w:r>
      <w:r>
        <w:t xml:space="preserve">assigned to a correction and a harm, Lite-CF gained 15.8 correct decisions per 10,000 strict</w:t>
      </w:r>
      <w:r>
        <w:t xml:space="preserve"> </w:t>
      </w:r>
      <w:r>
        <w:t xml:space="preserve">observations; this advantage disappeared when a harm was valued at more than approximately</w:t>
      </w:r>
      <w:r>
        <w:t xml:space="preserve"> </w:t>
      </w:r>
      <w:r>
        <w:t xml:space="preserve">2.9 corrections. The method requires two endpoint passes, and no energy measurements were</w:t>
      </w:r>
      <w:r>
        <w:t xml:space="preserve"> </w:t>
      </w:r>
      <w:r>
        <w:t xml:space="preserve">made. The evidence supports a risk-control protocol for controlled available-group corruption,</w:t>
      </w:r>
      <w:r>
        <w:t xml:space="preserve"> </w:t>
      </w:r>
      <w:r>
        <w:t xml:space="preserve">not population-level claims about natural sensor failures or device-independent field recovery.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group. Second, it formulates selective recovery as</w:t>
      </w:r>
      <w:r>
        <w:t xml:space="preserve"> </w:t>
      </w:r>
      <w:r>
        <w:t xml:space="preserve">hard-decision risk control and cross-fits both the routing score and operating threshold. The primary</w:t>
      </w:r>
      <w:r>
        <w:t xml:space="preserve"> </w:t>
      </w:r>
      <w:r>
        <w:t xml:space="preserve">Lite-CF implementation uses six endpoint features and two forward passes. Third, it audits the sparse</w:t>
      </w:r>
      <w:r>
        <w:t xml:space="preserve"> </w:t>
      </w:r>
      <w:r>
        <w:t xml:space="preserve">routing problem through repeated grouped splits, coefficient and sign stability, regularization paths,</w:t>
      </w:r>
      <w:r>
        <w:t xml:space="preserve"> </w:t>
      </w:r>
      <w:r>
        <w:t xml:space="preserve">calibration-size sensitivity, an all-row three-outcome model, a shallow tree and a staged cascade. Fourth, it</w:t>
      </w:r>
      <w:r>
        <w:t xml:space="preserve"> </w:t>
      </w:r>
      <w:r>
        <w:t xml:space="preserve">separates mechanism-fixed, batch-fixed and fitting-seed variation and reports the final routed probabilities</w:t>
      </w:r>
      <w:r>
        <w:t xml:space="preserve"> </w:t>
      </w:r>
      <w:r>
        <w:t xml:space="preserve">on discrimination and calibration metrics.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6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4954af207910ee716f31344961c743999a0109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definitions. “Prevention” is one minus the fraction of harm</w:t>
      </w:r>
      <w:r>
        <w:t xml:space="preserve"> </w:t>
      </w:r>
      <w:r>
        <w:t xml:space="preserve">opportunities that are realized. A harmful switch and a residual harm are the same event expressed</w:t>
      </w:r>
      <w:r>
        <w:t xml:space="preserve"> </w:t>
      </w:r>
      <w:r>
        <w:t xml:space="preserve">per observation rather than per harm opportunity.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corrections / corrections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prevented harms / harm opportunities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selected recovery outputs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switches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corrections retained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harms realized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perceptron. Uniform fusion averages group logits. EF-PD and UF-PD receive the same paired</w:t>
      </w:r>
      <w:r>
        <w:t xml:space="preserve"> </w:t>
      </w:r>
      <w:r>
        <w:t xml:space="preserve">degradations and degraded-task loss as PDRF. The corruption-aware gated fusion model (CAGF)</w:t>
      </w:r>
      <w:r>
        <w:t xml:space="preserve"> </w:t>
      </w:r>
      <w:r>
        <w:t xml:space="preserve">concatenates the four 32-dimensional group representations, masks and quality values, then applies a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is the matched mixture-of-experts-style comparator: group classifiers act as</w:t>
      </w:r>
      <w:r>
        <w:t xml:space="preserve"> </w:t>
      </w:r>
      <w:r>
        <w:t xml:space="preserve">experts and a sample-dependent unrestricted gate supplies their mixing coefficients. CAGF receives the</w:t>
      </w:r>
      <w:r>
        <w:t xml:space="preserve"> </w:t>
      </w:r>
      <w:r>
        <w:t xml:space="preserve">same paired degradation, consistency and normalized-weight monotonicity losses. Direct weight ranking</w:t>
      </w:r>
      <w:r>
        <w:t xml:space="preserve"> </w:t>
      </w:r>
      <w:r>
        <w:t xml:space="preserve">(DWR) adds a margin directly to the gate weight. The quality-only model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gate or bounded operational response.</w:t>
      </w:r>
    </w:p>
    <w:p>
      <w:pPr>
        <w:pStyle w:val="BodyText"/>
      </w:pPr>
      <w:r>
        <w:t xml:space="preserve">To test whether a stronger interaction model alters the architecture comparison, RO-AT-GATE maps</w:t>
      </w:r>
      <w:r>
        <w:t xml:space="preserve"> </w:t>
      </w:r>
      <w:r>
        <w:t xml:space="preserve">each physical sensor group to a 32-dimensional token, adds a learned group-identity embedding, and</w:t>
      </w:r>
      <w:r>
        <w:t xml:space="preserve"> </w:t>
      </w:r>
      <w:r>
        <w:t xml:space="preserve">applies one four-head self-attention layer with a 64-unit feed-forward block. Unavailable groups are</w:t>
      </w:r>
      <w:r>
        <w:t xml:space="preserve"> </w:t>
      </w:r>
      <w:r>
        <w:t xml:space="preserve">masked before attention.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converts each contextualized token, availability</w:t>
      </w:r>
      <w:r>
        <w:t xml:space="preserve"> </w:t>
      </w:r>
      <w:r>
        <w:t xml:space="preserve">flag and quality value into an unrestricted softmax gate. This compact attention baseline has</w:t>
      </w:r>
      <w:r>
        <w:t xml:space="preserve"> </w:t>
      </w:r>
      <w:r>
        <w:t xml:space="preserve">26,809 parameters, close to CAGF’s 26,588, and receives exactly the same paired views and</w:t>
      </w:r>
      <w:r>
        <w:t xml:space="preserve"> </w:t>
      </w:r>
      <w:r>
        <w:t xml:space="preserve">complete recovery objective as RO-CAGF. It is a sensor-group adaptation of modern cross-modal</w:t>
      </w:r>
      <w:r>
        <w:t xml:space="preserve"> </w:t>
      </w:r>
      <w:r>
        <w:t xml:space="preserve">attention practice rather than a claim to reproduce a task-specific vision or language system</w:t>
      </w:r>
      <w:r>
        <w:t xml:space="preserve"> </w:t>
      </w:r>
      <w:r>
        <w:t xml:space="preserve">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recovery-oriented multi-expert router (RO-MER) is a stronger sample-dependent control</w:t>
      </w:r>
      <w:r>
        <w:t xml:space="preserve"> </w:t>
      </w:r>
      <w:r>
        <w:t xml:space="preserve">motivated by recent failure-resilient expert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Its candidate set contains one classifier from each</w:t>
      </w:r>
      <w:r>
        <w:t xml:space="preserve"> </w:t>
      </w:r>
      <w:r>
        <w:t xml:space="preserve">physical group and one joint expert that maps all group representations, availability indicators and quality</w:t>
      </w:r>
      <w:r>
        <w:t xml:space="preserve"> </w:t>
      </w:r>
      <w:r>
        <w:t xml:space="preserve">values through a 64-unit hidden layer. A separate 64-unit router produces probabilities</w:t>
      </w:r>
      <w:r>
        <w:t xml:space="preserve"> </w:t>
      </w:r>
      <w:r>
        <w:t xml:space="preserve">α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1</w:t>
      </w:r>
      <w:r>
        <w:t xml:space="preserve">,…,α</w:t>
      </w:r>
      <w:r>
        <w:rPr>
          <w:vertAlign w:val="subscript"/>
        </w:rPr>
        <w:t xml:space="preserve">iM</w:t>
      </w:r>
      <w:r>
        <w:t xml:space="preserve">,α</w:t>
      </w:r>
      <w:r>
        <w:rPr>
          <w:vertAlign w:val="subscript"/>
        </w:rPr>
        <w:t xml:space="preserve">iJ</w:t>
      </w:r>
      <w:r>
        <w:t xml:space="preserve"> </w:t>
      </w:r>
      <w:r>
        <w:t xml:space="preserve">over the available group experts and the joint expert. The prediction uses this unmodified (</w:t>
      </w:r>
      <w:r>
        <w:t xml:space="preserve">M</w:t>
      </w:r>
      <w:r>
        <w:t xml:space="preserve"> </w:t>
      </w:r>
      <w:r>
        <w:t xml:space="preserve">+ 1)-expert</w:t>
      </w:r>
      <w:r>
        <w:t xml:space="preserve"> </w:t>
      </w:r>
      <w:r>
        <w:t xml:space="preserve">distribution. For losses that require physical-group weights, the differentiable effective allocation</w:t>
      </w:r>
      <w:r>
        <w:t xml:space="preserve"> </w:t>
      </w:r>
      <w:r>
        <w:t xml:space="preserve">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47675"/>
                  <wp:effectExtent b="0" l="0" r="0" t="0"/>
                  <wp:docPr descr=" aim weimff= αim + αiJ∑-----. ka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therefore distributed uniformly only for the shared monotonicity and</w:t>
      </w:r>
      <w:r>
        <w:t xml:space="preserve"> </w:t>
      </w:r>
      <w:r>
        <w:t xml:space="preserve">gate-regularization terms. This allocation is not detached, but it does not alter the routed prediction.</w:t>
      </w:r>
      <w:r>
        <w:t xml:space="preserve"> </w:t>
      </w:r>
      <w:r>
        <w:t xml:space="preserve">RO-MER has 35,811 trainable parameters and receives the same faults, batches, seeds and checkpoint rule</w:t>
      </w:r>
      <w:r>
        <w:t xml:space="preserve"> </w:t>
      </w:r>
      <w:r>
        <w:t xml:space="preserve">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mean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the uniform</w:t>
      </w:r>
      <w:r>
        <w:t xml:space="preserve"> </w:t>
      </w:r>
      <w:r>
        <w:t xml:space="preserve">distribution over available physical groups. RO-CAGF uses the same coefficients and terms,</w:t>
      </w:r>
      <w:r>
        <w:t xml:space="preserve"> </w:t>
      </w:r>
      <w:r>
        <w:t xml:space="preserve">with its native</w:t>
      </w:r>
      <w:r>
        <w:t xml:space="preserve"> </w:t>
      </w:r>
      <w:r>
        <w:t xml:space="preserve">M</w:t>
      </w:r>
      <w:r>
        <w:t xml:space="preserve">-group softmax weights replacing 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). RO-PDRF-Full replaces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with the response-interior penalty because its bounded responses have a different geometry.</w:t>
      </w:r>
      <w:r>
        <w:t xml:space="preserve"> </w:t>
      </w:r>
      <w:r>
        <w:t xml:space="preserve">Thus recovery supervision, proper scoring, pairwise ranking, paired views and task losses are</w:t>
      </w:r>
      <w:r>
        <w:t xml:space="preserve"> </w:t>
      </w:r>
      <w:r>
        <w:t xml:space="preserve">matched, whereas only the architecture-specific regularizer differs. RO-MER tests whether the</w:t>
      </w:r>
      <w:r>
        <w:t xml:space="preserve"> </w:t>
      </w:r>
      <w:r>
        <w:t xml:space="preserve">conclusion survives explicit cross-group interaction rather than merely widening the original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18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The mechanism audit showed that reducing an affected group’s weight was often necessary but not</w:t>
      </w:r>
      <w:r>
        <w:t xml:space="preserve"> </w:t>
      </w:r>
      <w:r>
        <w:t xml:space="preserve">sufficient for prediction recovery. We therefore define recovery-oriented PDRF (RO-PDRF), which retains</w:t>
      </w:r>
      <w:r>
        <w:t xml:space="preserve"> </w:t>
      </w:r>
      <w:r>
        <w:t xml:space="preserve">the PDRF architecture and adds recovery supervision. First, the degraded prediction is distilled from the</w:t>
      </w:r>
      <w:r>
        <w:t xml:space="preserve"> </w:t>
      </w:r>
      <w:r>
        <w:t xml:space="preserve">detached clean-view prediction. Write</w:t>
      </w:r>
      <w:r>
        <w:t xml:space="preserve"> </w:t>
      </w:r>
      <w:r>
        <w:drawing>
          <wp:inline>
            <wp:extent cx="133350" cy="209550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);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As with the removal consistency term,</w:t>
      </w:r>
      <w:r>
        <w:t xml:space="preserve"> 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is defined only for observations with at least two available</w:t>
      </w:r>
      <w:r>
        <w:t xml:space="preserve"> </w:t>
      </w:r>
      <w:r>
        <w:t xml:space="preserve">groups, because removing the degraded group from a single-group observation leaves no valid recovery</w:t>
      </w:r>
      <w:r>
        <w:t xml:space="preserve"> </w:t>
      </w:r>
      <w:r>
        <w:t xml:space="preserve">view; it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In the frozen chemical run, this eligibility rule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The exclusion rate and counts are reported in</w:t>
      </w:r>
      <w:r>
        <w:t xml:space="preserve"> </w:t>
      </w:r>
      <w:r>
        <w:t xml:space="preserve">the Supplementary Information. This label-free teacher targets recovery of the clean class</w:t>
      </w:r>
      <w:r>
        <w:t xml:space="preserve"> </w:t>
      </w:r>
      <w:r>
        <w:t xml:space="preserve">distribution instead of assuming that downweighting alone repairs the decision. We denote the</w:t>
      </w:r>
      <w:r>
        <w:t xml:space="preserve"> </w:t>
      </w:r>
      <w:r>
        <w:t xml:space="preserve">base PDRF objective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as RO-PDRF-Lite. Label-assisted, confidence-weighted,</w:t>
      </w:r>
      <w:r>
        <w:t xml:space="preserve"> </w:t>
      </w:r>
      <w:r>
        <w:t xml:space="preserve">exponential-moving-average and agreement-gated teachers are sensitivity controls rather than</w:t>
      </w:r>
      <w:r>
        <w:t xml:space="preserve"> </w:t>
      </w:r>
      <w:r>
        <w:t xml:space="preserve">selector inputs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 Their definitions, decay grid and conditional recovery/error-transfer results</w:t>
      </w:r>
      <w:r>
        <w:t xml:space="preserve"> </w:t>
      </w:r>
      <w:r>
        <w:t xml:space="preserve">are reported in the Supplementary Information; no held-out label is used by the deployed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1 ∑ ℒBrier = --- ∥pi − eyi∥22 |ℬ |i∈ℬ 1 ∑ ′ 2 + |ℬ| ∥pi − eyi∥2.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the unweighted multiclass score averaged over observations; class weights are used for</w:t>
      </w:r>
      <w:r>
        <w:t xml:space="preserve"> </w:t>
      </w:r>
      <w:r>
        <w:t xml:space="preserve">cross-entropy but are not inserted into the proper score. This preserves its standard probabilistic</w:t>
      </w:r>
      <w:r>
        <w:t xml:space="preserve"> </w:t>
      </w:r>
      <w:r>
        <w:t xml:space="preserve">interpretation while classwise calibration is reported separately. Third, a weak log barrier discourages</w:t>
      </w:r>
      <w:r>
        <w:t xml:space="preserve"> </w:t>
      </w:r>
      <w:r>
        <w:t xml:space="preserve">boundary occupancy without removing the original finite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. Its exact</w:t>
      </w:r>
      <w:r>
        <w:t xml:space="preserve"> </w:t>
      </w:r>
      <w:r>
        <w:t xml:space="preserve">clean-plus-degraded implementation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ℬ1 aim¯bim.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solely a numerical safeguard near the open</w:t>
      </w:r>
      <w:r>
        <w:t xml:space="preserve"> </w:t>
      </w:r>
      <w:r>
        <w:t xml:space="preserve">boundary. Fourth, a smooth one-versus-rest pairwise ranking loss directly supervises degraded-view class</w:t>
      </w:r>
      <w:r>
        <w:t xml:space="preserve"> </w:t>
      </w:r>
      <w:r>
        <w:t xml:space="preserve">ordering. For class</w:t>
      </w:r>
      <w:r>
        <w:t xml:space="preserve"> </w:t>
      </w:r>
      <w:r>
        <w:t xml:space="preserve">c</w:t>
      </w:r>
      <w:r>
        <w:t xml:space="preserve">,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observations in a minibatch, let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be the eligible class set, and let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-1-- ∑ ℒAUC = |𝒞ℬ| Ac, ∑ c∈𝒞∑ℬ i∈Pc j∈Nc ϕijc Ac = -----|P-||N-|----. c c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Pairwise losses target class ordering directly rather than using cross-entropy as an indirect surrogate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</w:t>
      </w:r>
      <w:r>
        <w:t xml:space="preserve"> </w:t>
      </w:r>
      <w:r>
        <w:t xml:space="preserve">A class contributes only when the current minibatch contains at least one positive and one negative</w:t>
      </w:r>
      <w:r>
        <w:t xml:space="preserve"> </w:t>
      </w:r>
      <w:r>
        <w:t xml:space="preserve">example; absent classes are skipped, and the pairwise term is omitted if no class is eligible.</w:t>
      </w:r>
      <w:r>
        <w:t xml:space="preserve"> </w:t>
      </w:r>
      <w:r>
        <w:t xml:space="preserve">RO-PDRF-Full adds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The formal</w:t>
      </w:r>
      <w:r>
        <w:t xml:space="preserve"> </w:t>
      </w:r>
      <w:r>
        <w:t xml:space="preserve">hierarchy is fixed throughout: RO-PDRF-Lite is the primary practical model and software default;</w:t>
      </w:r>
      <w:r>
        <w:t xml:space="preserve"> </w:t>
      </w:r>
      <w:r>
        <w:t xml:space="preserve">RO-PDRF-Full is the mechanistic full model used for complete-objective architecture comparisons; and</w:t>
      </w:r>
      <w:r>
        <w:t xml:space="preserve"> </w:t>
      </w:r>
      <w:r>
        <w:t xml:space="preserve">RO-PDRF-EMA is a calibration-oriented sensitivity based on Full. The clean-view teacher is</w:t>
      </w:r>
      <w:r>
        <w:t xml:space="preserve"> </w:t>
      </w:r>
      <w:r>
        <w:t xml:space="preserve">the formal specification because it removes label-assisted teacher selection without reducing</w:t>
      </w:r>
      <w:r>
        <w:t xml:space="preserve"> </w:t>
      </w:r>
      <w:r>
        <w:t xml:space="preserve">affected-subset discrimination in the teacher audit. The test set is not used to fit model or ensemble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18"/>
    <w:bookmarkStart w:id="128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19" w:name="x1-130003.6"/>
      <w:bookmarkEnd w:id="119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</w:t>
      </w:r>
      <w:r>
        <w:t xml:space="preserve"> </w:t>
      </w:r>
      <w:r>
        <w:t xml:space="preserve">one. We therefore treat routing as hard-decision risk control. The primary deployment pair</w:t>
      </w:r>
      <w:r>
        <w:t xml:space="preserve"> </w:t>
      </w:r>
      <w:r>
        <w:t xml:space="preserve">is PDRF versus RO-PDRF-Lite, because both endpoints require one ordinary forward pass</w:t>
      </w:r>
      <w:r>
        <w:t xml:space="preserve"> </w:t>
      </w:r>
      <w:r>
        <w:t xml:space="preserve">and have the same 19,740-parameter architecture. The heavier PDRF/RO-PDRF-Full pair is</w:t>
      </w:r>
      <w:r>
        <w:t xml:space="preserve"> </w:t>
      </w:r>
      <w:r>
        <w:t xml:space="preserve">retained as a mechanistic sensitivity and for comparison with the earlier leave-one-group-out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Batch 7 is divided chronologically into two disjoint halves. The first half fits one scalar temperature</w:t>
      </w:r>
      <w:r>
        <w:t xml:space="preserve"> </w:t>
      </w:r>
      <w:r>
        <w:t xml:space="preserve">for each endpoint by minimizing multiclass negative log-likelihood. The second half contains two</w:t>
      </w:r>
      <w:r>
        <w:t xml:space="preserve"> </w:t>
      </w:r>
      <w:r>
        <w:t xml:space="preserve">calibration-only realizations of Gaussian, offset, drift and stuck-at corruption. Only rows on</w:t>
      </w:r>
      <w:r>
        <w:t xml:space="preserve"> </w:t>
      </w:r>
      <w:r>
        <w:t xml:space="preserve">which the intervention reaches an available affected group enter selector development. Every</w:t>
      </w:r>
      <w:r>
        <w:t xml:space="preserve"> </w:t>
      </w:r>
      <w:r>
        <w:t xml:space="preserve">routing feature is calculated from these temperature-scaled endpoint probabilities. The emitted</w:t>
      </w:r>
      <w:r>
        <w:t xml:space="preserve"> </w:t>
      </w:r>
      <w:r>
        <w:t xml:space="preserve">vector is the selected endpoint’s temperature-scaled vector; no post-routing recalibration is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</w:t>
      </w:r>
      <w:r>
        <w:t xml:space="preserve"> </w:t>
      </w:r>
      <w:r>
        <w:t xml:space="preserve">the</w:t>
      </w:r>
      <w:r>
        <w:t xml:space="preserve"> </w:t>
      </w:r>
      <w:r>
        <w:t xml:space="preserve">conditional preference 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42950"/>
                  <wp:effectExtent b="0" l="0" r="0" t="0"/>
                  <wp:docPr descr=" ( ) ∑ 6 πi = σ( γ0 + γjzij) , j=1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42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3" w:name="x1-13001r19"/>
            <w:bookmarkEnd w:id="12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</w:t>
      </w:r>
      <w:r>
        <w:t xml:space="preserve"> </w:t>
      </w:r>
      <w:r>
        <w:t xml:space="preserve">equals one when recovery is correct and the base endpoint is wrong. This conditional score is</w:t>
      </w:r>
      <w:r>
        <w:t xml:space="preserve"> </w:t>
      </w:r>
      <w:r>
        <w:t xml:space="preserve">not a calibrated reliability probability for the full stream.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</w:t>
      </w:r>
      <w:r>
        <w:t xml:space="preserve"> </w:t>
      </w:r>
      <w:r>
        <w:t xml:space="preserve">0.</w:t>
      </w:r>
    </w:p>
    <w:p>
      <w:pPr>
        <w:pStyle w:val="BodyText"/>
      </w:pPr>
      <w:r>
        <w:t xml:space="preserve">Coefficient fitting is separated from threshold selection by five-fold stratified group cross-fitting. All</w:t>
      </w:r>
      <w:r>
        <w:t xml:space="preserve"> </w:t>
      </w:r>
      <w:r>
        <w:t xml:space="preserve">realizations and mechanisms originating from the same calibration observation remain in one fold.</w:t>
      </w:r>
      <w:r>
        <w:t xml:space="preserve"> </w:t>
      </w:r>
      <w:r>
        <w:t xml:space="preserve">Candidate thresholds are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and are evaluated only on pooled out-of-fold scores. Selection</w:t>
      </w:r>
      <w:r>
        <w:t xml:space="preserve"> </w:t>
      </w:r>
      <w:r>
        <w:t xml:space="preserve">is lexicographic: minimize realized harms, maximize selected accuracy, maximize retained corrections and,</w:t>
      </w:r>
      <w:r>
        <w:t xml:space="preserve"> </w:t>
      </w:r>
      <w:r>
        <w:t xml:space="preserve">if all three remain tied, choose the highest threshold. The formal Lite-CF fits had a mean of 1.5 tied</w:t>
      </w:r>
      <w:r>
        <w:t xml:space="preserve"> </w:t>
      </w:r>
      <w:r>
        <w:t xml:space="preserve">thresholds (range 1–4). The final coefficients are refitted on all informative rows while the threshold</w:t>
      </w:r>
      <w:r>
        <w:t xml:space="preserve"> </w:t>
      </w:r>
      <w:r>
        <w:t xml:space="preserve">remains frozen. A newly trained deployment model follows the same reserved chronological-calibration</w:t>
      </w:r>
      <w:r>
        <w:t xml:space="preserve"> </w:t>
      </w:r>
      <w:r>
        <w:t xml:space="preserve">protocol. If both preference classes are not present in every grouped fold, the selector is declared</w:t>
      </w:r>
      <w:r>
        <w:t xml:space="preserve"> </w:t>
      </w:r>
      <w:r>
        <w:t xml:space="preserve">unsupported and routing falls back to PDRF; test observations are never borrowed to complete a</w:t>
      </w:r>
      <w:r>
        <w:t xml:space="preserve"> </w:t>
      </w:r>
      <w:r>
        <w:t xml:space="preserve">fit.</w:t>
      </w:r>
    </w:p>
    <w:p>
      <w:pPr>
        <w:pStyle w:val="BodyText"/>
      </w:pPr>
      <w:r>
        <w:t xml:space="preserve">We probe the selected-sample and sparse-event risks in four ways. First, ten repeated grouped splits</w:t>
      </w:r>
      <w:r>
        <w:t xml:space="preserve"> </w:t>
      </w:r>
      <w:r>
        <w:t xml:space="preserve">are run for each of 10 fitted endpoint pairs. Second, standardized coefficient distributions, sign frequencies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 </w:t>
      </w:r>
      <w:r>
        <w:t xml:space="preserve">are audited. Third, calibration groups are subsampled to 25%, 50%, 75%</w:t>
      </w:r>
      <w:r>
        <w:t xml:space="preserve"> </w:t>
      </w:r>
      <w:r>
        <w:t xml:space="preserve">and 100%. Fourth, an all-row multinomial model predicts three outcomes—base better, equivalent or</w:t>
      </w:r>
      <w:r>
        <w:t xml:space="preserve"> </w:t>
      </w:r>
      <w:r>
        <w:t xml:space="preserve">recovery better—from the same six features. A depth-two tree with minimum leaf size 35 supplies a</w:t>
      </w:r>
      <w:r>
        <w:t xml:space="preserve"> </w:t>
      </w:r>
      <w:r>
        <w:t xml:space="preserve">nonlinear, compute-matched learned baseline. These models use the same grouped cross-fitting and</w:t>
      </w:r>
      <w:r>
        <w:t xml:space="preserve"> </w:t>
      </w:r>
      <w:r>
        <w:t xml:space="preserve">calibration budget as Lite-CF.</w:t>
      </w:r>
    </w:p>
    <w:p>
      <w:pPr>
        <w:pStyle w:val="BodyText"/>
      </w:pPr>
      <w:r>
        <w:t xml:space="preserve">The legacy Safe-CF-12 sensitivity routes between PDRF and RO-PDRF-Full. It adds endpoint</w:t>
      </w:r>
      <w:r>
        <w:t xml:space="preserve"> </w:t>
      </w:r>
      <w:r>
        <w:t xml:space="preserve">Jensen–Shannon disagreement, leave-one-group-out consensus disagreement and consensus-class agreement</w:t>
      </w:r>
      <w:r>
        <w:t xml:space="preserve"> </w:t>
      </w:r>
      <w:r>
        <w:t xml:space="preserve">features, and therefore requires</w:t>
      </w:r>
      <w:r>
        <w:t xml:space="preserve"> </w:t>
      </w:r>
      <w:r>
        <w:t xml:space="preserve">M</w:t>
      </w:r>
      <w:r>
        <w:t xml:space="preserve"> </w:t>
      </w:r>
      <w:r>
        <w:t xml:space="preserve">+ 2 passes. A staged Cascade-25 first evaluates the cheap six-feature</w:t>
      </w:r>
      <w:r>
        <w:t xml:space="preserve"> </w:t>
      </w:r>
      <w:r>
        <w:t xml:space="preserve">model. It computes the four leave-one-group-out views only for the 25% of calibration scores closest to the</w:t>
      </w:r>
      <w:r>
        <w:t xml:space="preserve"> </w:t>
      </w:r>
      <w:r>
        <w:t xml:space="preserve">cheap threshold. This yields 2.91 passes on average in the held-out strict set. Always-endpoint, scalar</w:t>
      </w:r>
      <w:r>
        <w:t xml:space="preserve"> </w:t>
      </w:r>
      <w:r>
        <w:t xml:space="preserve">confidence, entropy, random-selection and correctness-opportunity controls remain as additional baselines.</w:t>
      </w:r>
      <w:r>
        <w:t xml:space="preserve"> </w:t>
      </w:r>
      <w:r>
        <w:t xml:space="preserve">The correctness oracle can attain perfect prevention and retention while having lower AUROC than</w:t>
      </w:r>
      <w:r>
        <w:t xml:space="preserve"> </w:t>
      </w:r>
      <w:r>
        <w:t xml:space="preserve">unconditional recovery because it optimizes hard-decision correctness, not cross-observation score</w:t>
      </w:r>
      <w:r>
        <w:t xml:space="preserve"> </w:t>
      </w:r>
      <w:r>
        <w:t xml:space="preserve">ranking.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971800" cy="219075"/>
                  <wp:effectExtent b="0" l="0" r="0" t="0"/>
                  <wp:docPr descr="U = VC NC − CH NH − λ(P − 1),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7" w:name="x1-13002r20"/>
            <w:bookmarkEnd w:id="12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transparent pass-cost proxy.</w:t>
      </w:r>
      <w:r>
        <w:t xml:space="preserve"> </w:t>
      </w:r>
      <w:r>
        <w:t xml:space="preserve">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the imposed-fault prevalence, and</w:t>
      </w:r>
      <w:r>
        <w:t xml:space="preserve"> </w:t>
      </w:r>
      <w:r>
        <w:t xml:space="preserve">λ</w:t>
      </w:r>
      <w:r>
        <w:t xml:space="preserve">. Energy was not</w:t>
      </w:r>
      <w:r>
        <w:t xml:space="preserve"> </w:t>
      </w:r>
      <w:r>
        <w:t xml:space="preserve">measured, so forward passes and counted linear-layer FLOPs are reported only as computational</w:t>
      </w:r>
      <w:r>
        <w:t xml:space="preserve"> </w:t>
      </w:r>
      <w:r>
        <w:t xml:space="preserve">proxies.</w:t>
      </w:r>
    </w:p>
    <w:bookmarkEnd w:id="128"/>
    <w:bookmarkStart w:id="132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9" w:name="x1-140003.7"/>
      <w:bookmarkEnd w:id="129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The first 60% of Batch 7 selects checkpoints, and the remaining</w:t>
      </w:r>
      <w:r>
        <w:t xml:space="preserve"> </w:t>
      </w:r>
      <w:r>
        <w:t xml:space="preserve">40% is reserved for calibration; the routing experiment further divides that calibration partition into</w:t>
      </w:r>
      <w:r>
        <w:t xml:space="preserve"> </w:t>
      </w:r>
      <w:r>
        <w:t xml:space="preserve">temperature and selector halves. Batches 8–10 are never used to fit preprocessing, endpoints,</w:t>
      </w:r>
      <w:r>
        <w:t xml:space="preserve"> </w:t>
      </w:r>
      <w:r>
        <w:t xml:space="preserve">temperatures, selectors or 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0" w:name="x1-140012"/>
      <w:bookmarkEnd w:id="130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2"/>
    <w:bookmarkStart w:id="135" w:name="independent-hydraulic-testrig-validation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3" w:name="x1-150003.8"/>
      <w:bookmarkEnd w:id="133"/>
      <w:r>
        <w:t xml:space="preserve">Independent hydraulic test-rig validation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4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5"/>
    <w:bookmarkStart w:id="138" w:name="X59bb53cc35df152918cf6b61790914aeba30b63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6" w:name="x1-160003.9"/>
      <w:bookmarkEnd w:id="136"/>
      <w:r>
        <w:t xml:space="preserve">Real-operational AHU sensor-fault validation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7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8"/>
    <w:bookmarkStart w:id="145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9" w:name="x1-170003.10"/>
      <w:bookmarkEnd w:id="139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Batch-aware sensitivity holds both mechanism and acquisition batch fixed. These</w:t>
      </w:r>
      <w:r>
        <w:t xml:space="preserve"> </w:t>
      </w:r>
      <w:r>
        <w:t xml:space="preserve">intervals quantify fitting variation on the present data; they are not device- or fault-population</w:t>
      </w:r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4" w:name="x1-170012"/>
    <w:p>
      <w:pPr>
        <w:jc w:val="center"/>
      </w:pPr>
      <w:r>
        <w:drawing>
          <wp:inline>
            <wp:extent cx="5715000" cy="3655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4"/>
    <w:bookmarkEnd w:id="145"/>
    <w:bookmarkEnd w:id="146"/>
    <w:bookmarkStart w:id="188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7" w:name="x1-180004"/>
      <w:bookmarkEnd w:id="147"/>
      <w:r>
        <w:t xml:space="preserve">Results</w:t>
      </w:r>
    </w:p>
    <w:bookmarkStart w:id="153" w:name="Xe78c920f1ea98aee89878c8d95ff38b741df84f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8" w:name="x1-190004.1"/>
      <w:bookmarkEnd w:id="148"/>
      <w:r>
        <w:t xml:space="preserve">Primary two-pass routing controlled hard-decision risk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mechanism–seed cells, PDRF achieved mean accuracy 0.4869 and</w:t>
      </w:r>
      <w:r>
        <w:t xml:space="preserve"> </w:t>
      </w:r>
      <w:r>
        <w:t xml:space="preserve">macro-AUROC 0.8115. Unconditional RO-PDRF-Lite increased these values to 0.5002 and 0.8175.</w:t>
      </w:r>
      <w:r>
        <w:t xml:space="preserve"> </w:t>
      </w:r>
      <w:r>
        <w:t xml:space="preserve">Lite-CF emitted the recovery output for 52.2% of observations, prevented 94.7% of recovery-induced</w:t>
      </w:r>
      <w:r>
        <w:t xml:space="preserve"> </w:t>
      </w:r>
      <w:r>
        <w:t xml:space="preserve">negative transfers and retained 9.7% of the corrections available from unconditional recovery. Its</w:t>
      </w:r>
      <w:r>
        <w:t xml:space="preserve"> </w:t>
      </w:r>
      <w:r>
        <w:t xml:space="preserve">accuracy and macro-AUROC were 0.4885 and 0.8151 (Table </w:t>
      </w:r>
      <w:hyperlink w:anchor="X470f91e012608a5a6df410d8673b722c7d65c79">
        <w:r>
          <w:rPr>
            <w:rStyle w:val="Hyperlink"/>
          </w:rPr>
          <w:t xml:space="preserve">3</w:t>
        </w:r>
      </w:hyperlink>
      <w:r>
        <w:t xml:space="preserve">). Thus the router achieved its</w:t>
      </w:r>
      <w:r>
        <w:t xml:space="preserve"> </w:t>
      </w:r>
      <w:r>
        <w:t xml:space="preserve">hard-decision safety target but did not preserve most of the recovery endpoint’s accuracy</w:t>
      </w:r>
      <w:r>
        <w:t xml:space="preserve"> </w:t>
      </w:r>
      <w:r>
        <w:t xml:space="preserve">gain.</w:t>
      </w:r>
    </w:p>
    <w:p>
      <w:pPr>
        <w:pStyle w:val="BodyText"/>
      </w:pPr>
      <w:bookmarkStart w:id="149" w:name="x1-19001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Strict-subset endpoint and routed-output quality.</w:t>
      </w:r>
      <w:r>
        <w:t xml:space="preserve"> </w:t>
      </w:r>
      <w:r>
        <w:t xml:space="preserve">Values are equal-weight means</w:t>
      </w:r>
      <w:r>
        <w:t xml:space="preserve"> </w:t>
      </w:r>
      <w:r>
        <w:t xml:space="preserve">over four fixed mechanisms and 10 fitted model pairs. Probabilities are temperature-scaled before</w:t>
      </w:r>
      <w:r>
        <w:t xml:space="preserve"> </w:t>
      </w:r>
      <w:r>
        <w:t xml:space="preserve">routing; no post-routing recalibration is applied. ECE uses 15 equal-width bins.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harmful-switch rate therefore does not imply that the routed</w:t>
      </w:r>
      <w:r>
        <w:t xml:space="preserve"> </w:t>
      </w:r>
      <w:r>
        <w:t xml:space="preserve">probability vector is uniformly better.</w:t>
      </w:r>
    </w:p>
    <w:p>
      <w:pPr>
        <w:pStyle w:val="BodyText"/>
      </w:pPr>
      <w:r>
        <w:t xml:space="preserve">Mechanism-fixed paired intervals replace the four-cluster bootstrap as the main inferential display</w:t>
      </w:r>
      <w:r>
        <w:t xml:space="preserve"> </w:t>
      </w:r>
      <w:r>
        <w:t xml:space="preserve">(Table </w:t>
      </w:r>
      <w:hyperlink w:anchor="X962ed3dbabdf12083029573634dd97619da1419">
        <w:r>
          <w:rPr>
            <w:rStyle w:val="Hyperlink"/>
          </w:rPr>
          <w:t xml:space="preserve">4</w:t>
        </w:r>
      </w:hyperlink>
      <w:r>
        <w:t xml:space="preserve">). Lite-CF gains over PDRF were supported for Gaussian and stuck-at corruption. The offset and</w:t>
      </w:r>
      <w:r>
        <w:t xml:space="preserve"> </w:t>
      </w:r>
      <w:r>
        <w:t xml:space="preserve">drift intervals crossed zero. Gaussian Lite-CF gains were also positive within batches 8, 9 and 10</w:t>
      </w:r>
      <w:r>
        <w:t xml:space="preserve"> </w:t>
      </w:r>
      <w:r>
        <w:t xml:space="preserve">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0061); most offset and drift batch-fixed intervals crossed zero.</w:t>
      </w:r>
      <w:r>
        <w:t xml:space="preserve"> </w:t>
      </w:r>
      <w:r>
        <w:t xml:space="preserve">The result is therefore mechanism-dependent and cannot be interpreted as a fault-population</w:t>
      </w:r>
      <w:r>
        <w:t xml:space="preserve"> </w:t>
      </w:r>
      <w:r>
        <w:t xml:space="preserve">effect.</w:t>
      </w:r>
    </w:p>
    <w:p>
      <w:pPr>
        <w:pStyle w:val="BodyText"/>
      </w:pPr>
      <w:bookmarkStart w:id="151" w:name="x1-19002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Mechanism-fixed macro-AUROC differences.</w:t>
      </w:r>
      <w:r>
        <w:t xml:space="preserve"> </w:t>
      </w:r>
      <w:r>
        <w:t xml:space="preserve">Brackets are paired 95% Student-</w:t>
      </w:r>
      <w:r>
        <w:t xml:space="preserve">t</w:t>
      </w:r>
      <w:r>
        <w:t xml:space="preserve"> </w:t>
      </w:r>
      <w:r>
        <w:t xml:space="preserve">intervals across 10 fitted model pairs while holding the mechanism and test observations fixed.</w:t>
      </w:r>
      <w:r>
        <w:t xml:space="preserve"> </w:t>
      </w:r>
      <w:r>
        <w:t xml:space="preserve">Mechanisms are not resampled as a population.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RO-PDRF-Lite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Lite-CF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0124 [+0</w:t>
                  </w:r>
                  <w:r>
                    <w:t xml:space="preserve">.</w:t>
                  </w:r>
                  <w:r>
                    <w:t xml:space="preserve">0102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0146]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0007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0020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0044]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0033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equal correction value and harm cost and without a pass penalty, Lite-CF retained 24.20</w:t>
      </w:r>
      <w:r>
        <w:t xml:space="preserve"> </w:t>
      </w:r>
      <w:r>
        <w:t xml:space="preserve">corrections and realized 8.36 harms per 10,000 strict observations, yielding net utility +15</w:t>
      </w:r>
      <w:r>
        <w:t xml:space="preserve">.</w:t>
      </w:r>
      <w:r>
        <w:t xml:space="preserve">84. The net</w:t>
      </w:r>
      <w:r>
        <w:t xml:space="preserve"> </w:t>
      </w:r>
      <w:r>
        <w:t xml:space="preserve">values at harm-to-correction ratios 2, 5 and 10 were +7</w:t>
      </w:r>
      <w:r>
        <w:t xml:space="preserve">.</w:t>
      </w:r>
      <w:r>
        <w:t xml:space="preserve">49,</w:t>
      </w:r>
      <w:r>
        <w:t xml:space="preserve"> </w:t>
      </w:r>
      <w:r>
        <w:t xml:space="preserve">−</w:t>
      </w:r>
      <w:r>
        <w:t xml:space="preserve">17</w:t>
      </w:r>
      <w:r>
        <w:t xml:space="preserve">.</w:t>
      </w:r>
      <w:r>
        <w:t xml:space="preserve">58 and</w:t>
      </w:r>
      <w:r>
        <w:t xml:space="preserve"> </w:t>
      </w:r>
      <w:r>
        <w:t xml:space="preserve">−</w:t>
      </w:r>
      <w:r>
        <w:t xml:space="preserve">59</w:t>
      </w:r>
      <w:r>
        <w:t xml:space="preserve">.</w:t>
      </w:r>
      <w:r>
        <w:t xml:space="preserve">37. The break-even ratio was</w:t>
      </w:r>
      <w:r>
        <w:t xml:space="preserve"> </w:t>
      </w:r>
      <w:r>
        <w:t xml:space="preserve">approximately 2.9. Adding even a transparent pass penalty reduces these values. Energy was not</w:t>
      </w:r>
      <w:r>
        <w:t xml:space="preserve"> </w:t>
      </w:r>
      <w:r>
        <w:t xml:space="preserve">measured, so the analysis establishes a preference region rather than a universally optimal operating</w:t>
      </w:r>
      <w:r>
        <w:t xml:space="preserve"> </w:t>
      </w:r>
      <w:r>
        <w:t xml:space="preserve">point.</w:t>
      </w:r>
    </w:p>
    <w:bookmarkEnd w:id="153"/>
    <w:bookmarkStart w:id="157" w:name="Xcd0dc3b8ec0eb85f71c87bb82dbc4853f368a63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4" w:name="x1-200004.2"/>
      <w:bookmarkEnd w:id="154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Repeating the grouped cross-fitting 10 times for each endpoint pair</w:t>
      </w:r>
      <w:r>
        <w:t xml:space="preserve"> </w:t>
      </w:r>
      <w:r>
        <w:t xml:space="preserve">produced mean out-of-fold AUROC 0.720 (standard deviation 0.138; range 0.327–0.954), AUPRC 0.809</w:t>
      </w:r>
      <w:r>
        <w:t xml:space="preserve"> </w:t>
      </w:r>
      <w:r>
        <w:t xml:space="preserve">and Brier score 0.208. Thresholds ranged from 0.525 to 0.90. Numerical convergence therefore did not</w:t>
      </w:r>
      <w:r>
        <w:t xml:space="preserve"> </w:t>
      </w:r>
      <w:r>
        <w:t xml:space="preserve">imply stable conditional discrimination.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</w:t>
      </w:r>
      <w:r>
        <w:t xml:space="preserve"> </w:t>
      </w:r>
      <w:r>
        <w:t xml:space="preserve">traded away conditional discrimination: mean out-of-fold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prespecified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</w:t>
      </w:r>
      <w:r>
        <w:t xml:space="preserve"> </w:t>
      </w:r>
      <w:r>
        <w:t xml:space="preserve">therefore a conservative estimation choice, not the value that maximizes calibration preference</w:t>
      </w:r>
      <w:r>
        <w:t xml:space="preserve"> </w:t>
      </w:r>
      <w:r>
        <w:t xml:space="preserve">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The all-row three-outcome model prevented 94.4% of harms and retained 8.5% of corrections, but</w:t>
      </w:r>
      <w:r>
        <w:t xml:space="preserve"> </w:t>
      </w:r>
      <w:r>
        <w:t xml:space="preserve">selected recovery for only 4.6% of observations and achieved macro-AUROC 0.8117. The shallow tree</w:t>
      </w:r>
      <w:r>
        <w:t xml:space="preserve"> </w:t>
      </w:r>
      <w:r>
        <w:t xml:space="preserve">prevented 91.9%, retained 9.4% and achieved 0.8120. Neither displaced Lite-CF. For the legacy Full</w:t>
      </w:r>
      <w:r>
        <w:t xml:space="preserve"> </w:t>
      </w:r>
      <w:r>
        <w:t xml:space="preserve">endpoint, the staged cascade achieved 95.9% prevention, 5.3% retention and 0.8149 macro-AUROC at</w:t>
      </w:r>
      <w:r>
        <w:t xml:space="preserve"> </w:t>
      </w:r>
      <w:r>
        <w:t xml:space="preserve">2.91 mean passes. Safe-CF-12 retained more corrections (13.1%) but used six passes and prevented only</w:t>
      </w:r>
      <w:r>
        <w:t xml:space="preserve"> </w:t>
      </w:r>
      <w:r>
        <w:t xml:space="preserve">90.0% (Table </w:t>
      </w:r>
      <w:hyperlink w:anchor="X0db13ce6cbf01d473391ef73fe12c468aafbca9">
        <w:r>
          <w:rPr>
            <w:rStyle w:val="Hyperlink"/>
          </w:rPr>
          <w:t xml:space="preserve">5</w:t>
        </w:r>
      </w:hyperlink>
      <w:r>
        <w:t xml:space="preserve">). These comparisons show that no learned router dominates safety, recovery, ranking and</w:t>
      </w:r>
      <w:r>
        <w:t xml:space="preserve"> </w:t>
      </w:r>
      <w:r>
        <w:t xml:space="preserve">compute.</w:t>
      </w:r>
    </w:p>
    <w:p>
      <w:pPr>
        <w:pStyle w:val="BodyText"/>
      </w:pPr>
      <w:bookmarkStart w:id="155" w:name="x1-200015"/>
      <w:bookmarkEnd w:id="155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Learned routing and compute comparison.</w:t>
      </w:r>
      <w:r>
        <w:t xml:space="preserve"> </w:t>
      </w:r>
      <w:r>
        <w:t xml:space="preserve">Full-endpoint rows route between PDRF</w:t>
      </w:r>
      <w:r>
        <w:t xml:space="preserve"> </w:t>
      </w:r>
      <w:r>
        <w:t xml:space="preserve">and RO-PDRF-Full; Lite-CF routes between PDRF and RO-PDRF-Lite. Prevention and retention</w:t>
      </w:r>
      <w:r>
        <w:t xml:space="preserve"> </w:t>
      </w:r>
      <w:r>
        <w:t xml:space="preserve">are hard-decision outcomes. AUROC and NLL evaluate the final emitted probability vector.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bookmarkEnd w:id="157"/>
    <w:bookmarkStart w:id="173" w:name="X5d0544edf0c88786941b202f8e4db11441bb935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58" w:name="x1-210004.3"/>
      <w:bookmarkEnd w:id="158"/>
      <w:r>
        <w:t xml:space="preserve">Legacy Full-endpoint transport remained limited</w:t>
      </w:r>
    </w:p>
    <w:p>
      <w:pPr>
        <w:pStyle w:val="FirstParagraph"/>
      </w:pPr>
      <w:r>
        <w:t xml:space="preserve">When each calibrated fault family was omitted in turn, legacy Safe-CF-12 averaged +0</w:t>
      </w:r>
      <w:r>
        <w:t xml:space="preserve">.</w:t>
      </w:r>
      <w:r>
        <w:t xml:space="preserve">0032</w:t>
      </w:r>
      <w:r>
        <w:t xml:space="preserve"> </w:t>
      </w:r>
      <w:r>
        <w:t xml:space="preserve">macro-AUROC over PDRF, prevented 86.2% of negative transfers and retained 15.4% of recoveries</w:t>
      </w:r>
      <w:r>
        <w:t xml:space="preserve"> </w:t>
      </w:r>
      <w:r>
        <w:t xml:space="preserve">(Table </w:t>
      </w:r>
      <w:hyperlink w:anchor="Xf3276ffd8280d399096961a73d0c55702b17ec5">
        <w:r>
          <w:rPr>
            <w:rStyle w:val="Hyperlink"/>
          </w:rPr>
          <w:t xml:space="preserve">6</w:t>
        </w:r>
      </w:hyperlink>
      <w:r>
        <w:t xml:space="preserve">). On three mechanisms absent from selector calibration, corresponding means were +0</w:t>
      </w:r>
      <w:r>
        <w:t xml:space="preserve">.</w:t>
      </w:r>
      <w:r>
        <w:t xml:space="preserve">0019,</w:t>
      </w:r>
      <w:r>
        <w:t xml:space="preserve"> </w:t>
      </w:r>
      <w:r>
        <w:t xml:space="preserve">86.8% and 11.5%. The gain was not uniform: clipping gave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0002 relative to PDRF, whereas correlated</w:t>
      </w:r>
      <w:r>
        <w:t xml:space="preserve"> </w:t>
      </w:r>
      <w:r>
        <w:t xml:space="preserve">dual-group corruption gave +0</w:t>
      </w:r>
      <w:r>
        <w:t xml:space="preserve">.</w:t>
      </w:r>
      <w:r>
        <w:t xml:space="preserve">0060. Safe-CF-12 remained below unconditional RO-PDRF-Full on average</w:t>
      </w:r>
      <w:r>
        <w:t xml:space="preserve"> </w:t>
      </w:r>
      <w:r>
        <w:t xml:space="preserve">in both audits. These tests reduce same-family calibration leakage but do not establish natural-failure or</w:t>
      </w:r>
      <w:r>
        <w:t xml:space="preserve"> </w:t>
      </w:r>
      <w:r>
        <w:t xml:space="preserve">device transfer.</w:t>
      </w:r>
    </w:p>
    <w:p>
      <w:pPr>
        <w:pStyle w:val="BodyText"/>
      </w:pPr>
      <w:bookmarkStart w:id="159" w:name="x1-210016"/>
      <w:bookmarkEnd w:id="159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Selector transport estimands.</w:t>
      </w:r>
      <w:r>
        <w:t xml:space="preserve"> </w:t>
      </w:r>
      <w:r>
        <w:t xml:space="preserve">Values are means across 10 fitted pairs on the strict</w:t>
      </w:r>
      <w:r>
        <w:t xml:space="preserve"> </w:t>
      </w:r>
      <w:r>
        <w:t xml:space="preserve">applied-and-available subset. Leave-one-family-out selectors are developed on the other three</w:t>
      </w:r>
      <w:r>
        <w:t xml:space="preserve"> </w:t>
      </w:r>
      <w:r>
        <w:t xml:space="preserve">families; unseen mechanisms are absent from all selector calibration.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approximately matched prevention, Safe-CF-12 retained 13.1% of recoveries, compared with</w:t>
      </w:r>
      <w:r>
        <w:t xml:space="preserve"> </w:t>
      </w:r>
      <w:r>
        <w:t xml:space="preserve">5.7–8.8% for deterministic confidence, entropy and disagreement rules (Table </w:t>
      </w:r>
      <w:hyperlink w:anchor="X6ec9c4bd956d96af4adacdc591ab94d42203db1">
        <w:r>
          <w:rPr>
            <w:rStyle w:val="Hyperlink"/>
          </w:rPr>
          <w:t xml:space="preserve">7</w:t>
        </w:r>
      </w:hyperlink>
      <w:r>
        <w:t xml:space="preserve">). Random selection</w:t>
      </w:r>
      <w:r>
        <w:t xml:space="preserve"> </w:t>
      </w:r>
      <w:r>
        <w:t xml:space="preserve">retained 49.1% but prevented only 47.3% of negative transfers. Always using PDRF or RO-PDRF-Full</w:t>
      </w:r>
      <w:r>
        <w:t xml:space="preserve"> </w:t>
      </w:r>
      <w:r>
        <w:t xml:space="preserve">defines the zero-recovery and zero-prevention endpoints. The correctness-disagreement oracle defines the</w:t>
      </w:r>
      <w:r>
        <w:t xml:space="preserve"> </w:t>
      </w:r>
      <w:r>
        <w:t xml:space="preserve">hard-decision opportunity corner. It is neither deployable nor an AUROC upper bound. Its AUROC can</w:t>
      </w:r>
      <w:r>
        <w:t xml:space="preserve"> </w:t>
      </w:r>
      <w:r>
        <w:t xml:space="preserve">be lower than always-Full because choosing the correct class on each disagreement does not necessarily</w:t>
      </w:r>
      <w:r>
        <w:t xml:space="preserve"> </w:t>
      </w:r>
      <w:r>
        <w:t xml:space="preserve">preserve the continuous one-versus-rest ranking across observations. Thus the multivariable selector adds</w:t>
      </w:r>
      <w:r>
        <w:t xml:space="preserve"> </w:t>
      </w:r>
      <w:r>
        <w:t xml:space="preserve">value over one-dimensional rules, while the distance from the opportunity boundary quantifies unresolved</w:t>
      </w:r>
      <w:r>
        <w:t xml:space="preserve"> </w:t>
      </w:r>
      <w:r>
        <w:t xml:space="preserve">error transfer.</w:t>
      </w:r>
    </w:p>
    <w:p>
      <w:pPr>
        <w:pStyle w:val="BodyText"/>
      </w:pPr>
      <w:bookmarkStart w:id="161" w:name="x1-210027"/>
      <w:bookmarkEnd w:id="161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Matched legacy selector-baseline estimands.</w:t>
      </w:r>
      <w:r>
        <w:t xml:space="preserve"> </w:t>
      </w:r>
      <w:r>
        <w:t xml:space="preserve">Prevention, retention and</w:t>
      </w:r>
      <w:r>
        <w:t xml:space="preserve"> </w:t>
      </w:r>
      <w:r>
        <w:t xml:space="preserve">recovery-model use are equal-weight descriptive means across four fault mechanisms and 10 fitted</w:t>
      </w:r>
      <w:r>
        <w:t xml:space="preserve"> </w:t>
      </w:r>
      <w:r>
        <w:t xml:space="preserve">pairs;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across the same 40 cells. Scalar thresholds</w:t>
      </w:r>
      <w:r>
        <w:t xml:space="preserve"> </w:t>
      </w:r>
      <w:r>
        <w:t xml:space="preserve">are fitted on out-of-fold calibration scores and frozen before testing. The correctness-disagreement</w:t>
      </w:r>
      <w:r>
        <w:t xml:space="preserve"> </w:t>
      </w:r>
      <w:r>
        <w:t xml:space="preserve">oracle optimizes class correctness only; it can have lower AUROC than always-Full because AUROC</w:t>
      </w:r>
      <w:r>
        <w:t xml:space="preserve"> </w:t>
      </w:r>
      <w:r>
        <w:t xml:space="preserve">depends on continuous score ranking.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Start w:id="167" w:name="x1-210033"/>
    <w:p>
      <w:pPr>
        <w:jc w:val="center"/>
      </w:pPr>
      <w:r>
        <w:drawing>
          <wp:inline>
            <wp:extent cx="5715000" cy="429795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Hard-decision safety, uncertainty and compute. a</w:t>
      </w:r>
      <w:r>
        <w:t xml:space="preserve">, negative-transfer prevention</w:t>
      </w:r>
      <w:r>
        <w:t xml:space="preserve"> </w:t>
      </w:r>
      <w:r>
        <w:t xml:space="preserve">versus recovery retention on the strict subset; marker area scales with mean forward passes, and</w:t>
      </w:r>
      <w:r>
        <w:t xml:space="preserve"> </w:t>
      </w:r>
      <w:r>
        <w:t xml:space="preserve">the always-endpoint rows define the two corners.</w:t>
      </w:r>
      <w:r>
        <w:t xml:space="preserve"> </w:t>
      </w:r>
      <w:r>
        <w:t xml:space="preserve">b</w:t>
      </w:r>
      <w:r>
        <w:t xml:space="preserve">, Lite-CF minus PDRF macro-AUROC with</w:t>
      </w:r>
      <w:r>
        <w:t xml:space="preserve"> </w:t>
      </w:r>
      <w:r>
        <w:t xml:space="preserve">each fault mechanism held fixed; bars are paired 95% Student-</w:t>
      </w:r>
      <w:r>
        <w:t xml:space="preserve">t</w:t>
      </w:r>
      <w:r>
        <w:t xml:space="preserve"> </w:t>
      </w:r>
      <w:r>
        <w:t xml:space="preserve">intervals across 10 fitted model</w:t>
      </w:r>
      <w:r>
        <w:t xml:space="preserve"> </w:t>
      </w:r>
      <w:r>
        <w:t xml:space="preserve">pairs.</w:t>
      </w:r>
      <w:r>
        <w:t xml:space="preserve"> </w:t>
      </w:r>
      <w:r>
        <w:t xml:space="preserve">c</w:t>
      </w:r>
      <w:r>
        <w:t xml:space="preserve">, net utility per 10,000 strict observations as the cost of one realized harm increases relative</w:t>
      </w:r>
      <w:r>
        <w:t xml:space="preserve"> </w:t>
      </w:r>
      <w:r>
        <w:t xml:space="preserve">to the value of one retained correction; the plotted pass penalty is a forward-pass/FLOP proxy,</w:t>
      </w:r>
      <w:r>
        <w:t xml:space="preserve"> </w:t>
      </w:r>
      <w:r>
        <w:t xml:space="preserve">not measured energy.</w:t>
      </w:r>
      <w:r>
        <w:t xml:space="preserve"> </w:t>
      </w:r>
      <w:r>
        <w:t xml:space="preserve">d</w:t>
      </w:r>
      <w:r>
        <w:t xml:space="preserve">, repeated calibration-group subsampling; bars show 95% intervals over</w:t>
      </w:r>
      <w:r>
        <w:t xml:space="preserve"> </w:t>
      </w:r>
      <w:r>
        <w:t xml:space="preserve">seed–repeat summaries.</w:t>
      </w:r>
    </w:p>
    <w:bookmarkEnd w:id="167"/>
    <w:bookmarkStart w:id="172" w:name="x1-210044"/>
    <w:p>
      <w:pPr>
        <w:jc w:val="center"/>
      </w:pPr>
      <w:r>
        <w:drawing>
          <wp:inline>
            <wp:extent cx="5715000" cy="4692683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stability and final probability quality. a</w:t>
      </w:r>
      <w:r>
        <w:t xml:space="preserve">, selected threshold and out-of-fold</w:t>
      </w:r>
      <w:r>
        <w:t xml:space="preserve"> </w:t>
      </w:r>
      <w:r>
        <w:t xml:space="preserve">preference AUROC across 100 repeated grouped fits; colour identifies the fitted endpoint-pair seed</w:t>
      </w:r>
      <w:r>
        <w:t xml:space="preserve"> </w:t>
      </w:r>
      <w:r>
        <w:t xml:space="preserve">and the dashed line marks the overall median threshold.</w:t>
      </w:r>
      <w:r>
        <w:t xml:space="preserve"> </w:t>
      </w:r>
      <w:r>
        <w:t xml:space="preserve">b</w:t>
      </w:r>
      <w:r>
        <w:t xml:space="preserve">, median standardized Lite-CF coefficient</w:t>
      </w:r>
      <w:r>
        <w:t xml:space="preserve"> </w:t>
      </w:r>
      <w:r>
        <w:t xml:space="preserve">with interquartile range; right-side percentages are dominant-sign frequencies.</w:t>
      </w:r>
      <w:r>
        <w:t xml:space="preserve"> </w:t>
      </w:r>
      <w:r>
        <w:t xml:space="preserve">c</w:t>
      </w:r>
      <w:r>
        <w:t xml:space="preserve">, reliability curves</w:t>
      </w:r>
      <w:r>
        <w:t xml:space="preserve"> </w:t>
      </w:r>
      <w:r>
        <w:t xml:space="preserve">for temperature-scaled strict-subset outputs; points aggregate fault–seed cells within confidence</w:t>
      </w:r>
      <w:r>
        <w:t xml:space="preserve"> </w:t>
      </w:r>
      <w:r>
        <w:t xml:space="preserve">bins.</w:t>
      </w:r>
      <w:r>
        <w:t xml:space="preserve"> </w:t>
      </w:r>
      <w:r>
        <w:t xml:space="preserve">d</w:t>
      </w:r>
      <w:r>
        <w:t xml:space="preserve">, negative log-likelihood bars and 15-bin expected calibration error lines after separating</w:t>
      </w:r>
      <w:r>
        <w:t xml:space="preserve"> </w:t>
      </w:r>
      <w:r>
        <w:t xml:space="preserve">cases on which the endpoint classes agree or disagree.</w:t>
      </w:r>
    </w:p>
    <w:bookmarkEnd w:id="172"/>
    <w:bookmarkEnd w:id="173"/>
    <w:bookmarkStart w:id="175" w:name="Xef291e769bea173b3de3ae4abe6d55f5df7d208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74" w:name="x1-220004.4"/>
      <w:bookmarkEnd w:id="174"/>
      <w:r>
        <w:t xml:space="preserve">A stronger router narrowed the architecture claim</w:t>
      </w:r>
    </w:p>
    <w:p>
      <w:pPr>
        <w:pStyle w:val="FirstParagraph"/>
      </w:pPr>
      <w:r>
        <w:t xml:space="preserve">A separate objective-matched architecture-control run tested whether the result was an artifact of the</w:t>
      </w:r>
      <w:r>
        <w:t xml:space="preserve"> </w:t>
      </w:r>
      <w:r>
        <w:t xml:space="preserve">original unrestricted gate. RO-MER routes among four group experts and one joint expert using the</w:t>
      </w:r>
      <w:r>
        <w:t xml:space="preserve"> </w:t>
      </w:r>
      <w:r>
        <w:t xml:space="preserve">complete objective in Eq. (</w:t>
      </w:r>
      <w:hyperlink w:anchor="x1-11002r14">
        <w:r>
          <w:rPr>
            <w:rStyle w:val="Hyperlink"/>
          </w:rPr>
          <w:t xml:space="preserve">14</w:t>
        </w:r>
      </w:hyperlink>
      <w:r>
        <w:t xml:space="preserve">). It exceeded RO-CAGF for offset, drift and stuck-at corruption, but not</w:t>
      </w:r>
      <w:r>
        <w:t xml:space="preserve"> </w:t>
      </w:r>
      <w:r>
        <w:t xml:space="preserve">Gaussian noise. RO-PDRF-Full exceeded RO-MER for all four controlled mechanisms and by +0</w:t>
      </w:r>
      <w:r>
        <w:t xml:space="preserve">.</w:t>
      </w:r>
      <w:r>
        <w:t xml:space="preserve">0154 on</w:t>
      </w:r>
      <w:r>
        <w:t xml:space="preserve"> </w:t>
      </w:r>
      <w:r>
        <w:t xml:space="preserve">average (descriptive crossed-factor interval +0</w:t>
      </w:r>
      <w:r>
        <w:t xml:space="preserve">.</w:t>
      </w:r>
      <w:r>
        <w:t xml:space="preserve">0106 to +0</w:t>
      </w:r>
      <w:r>
        <w:t xml:space="preserve">.</w:t>
      </w:r>
      <w:r>
        <w:t xml:space="preserve">0206; Supplementary Table S2). This run</w:t>
      </w:r>
      <w:r>
        <w:t xml:space="preserve"> </w:t>
      </w:r>
      <w:r>
        <w:t xml:space="preserve">addresses comparator strength, but it is not merged numerically with CEE-CF10-R2 and does not</w:t>
      </w:r>
      <w:r>
        <w:t xml:space="preserve"> </w:t>
      </w:r>
      <w:r>
        <w:t xml:space="preserve">establish universal architectural superiority.</w:t>
      </w:r>
    </w:p>
    <w:bookmarkEnd w:id="175"/>
    <w:bookmarkStart w:id="177" w:name="X5dc20ccf931980770701a1c47b9304345ceabbe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6" w:name="x1-230004.5"/>
      <w:bookmarkEnd w:id="176"/>
      <w:r>
        <w:t xml:space="preserve">Downweighting remained distinct from prediction recovery</w:t>
      </w:r>
    </w:p>
    <w:p>
      <w:pPr>
        <w:pStyle w:val="FirstParagraph"/>
      </w:pPr>
      <w:r>
        <w:t xml:space="preserve">In a separate mechanism audit, the affected group’s normalized weight decreased in 80.2% of predictions,</w:t>
      </w:r>
      <w:r>
        <w:t xml:space="preserve"> </w:t>
      </w:r>
      <w:r>
        <w:t xml:space="preserve">yet 41.9% still failed after that decrease. Recovery distillation was the largest leave-one-loss-out</w:t>
      </w:r>
      <w:r>
        <w:t xml:space="preserve"> </w:t>
      </w:r>
      <w:r>
        <w:t xml:space="preserve">contribution (+0</w:t>
      </w:r>
      <w:r>
        <w:t xml:space="preserve">.</w:t>
      </w:r>
      <w:r>
        <w:t xml:space="preserve">0105 affected AUROC; 10/10 seeds,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Conditional audits also exposed error</w:t>
      </w:r>
      <w:r>
        <w:t xml:space="preserve"> </w:t>
      </w:r>
      <w:r>
        <w:t xml:space="preserve">transfer: RO-PDRF-Full repaired 21.7% of eligible cases when its clean teacher was correct and PDRF was</w:t>
      </w:r>
      <w:r>
        <w:t xml:space="preserve"> </w:t>
      </w:r>
      <w:r>
        <w:t xml:space="preserve">wrong, but lost 29.4% when that teacher was wrong and PDRF remained correct. These paired</w:t>
      </w:r>
      <w:r>
        <w:t xml:space="preserve"> </w:t>
      </w:r>
      <w:r>
        <w:t xml:space="preserve">associations do not identify one loss term causally. Agreement- and confidence-based teacher controls did</w:t>
      </w:r>
      <w:r>
        <w:t xml:space="preserve"> </w:t>
      </w:r>
      <w:r>
        <w:t xml:space="preserve">not isolate negative transfer, and 63.6% response saturation precluded interval-scale device-health</w:t>
      </w:r>
      <w:r>
        <w:t xml:space="preserve"> </w:t>
      </w:r>
      <w:r>
        <w:t xml:space="preserve">interpretation. Complete ablations, teacher controls and response-calibration audits are reported in the</w:t>
      </w:r>
      <w:r>
        <w:t xml:space="preserve"> </w:t>
      </w:r>
      <w:r>
        <w:t xml:space="preserve">Supplementary Information.</w:t>
      </w:r>
    </w:p>
    <w:bookmarkEnd w:id="177"/>
    <w:bookmarkStart w:id="181" w:name="X9edad61f5078cf9f7dd8c299c9b1343c67e4c98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78" w:name="x1-240004.6"/>
      <w:bookmarkEnd w:id="178"/>
      <w:r>
        <w:t xml:space="preserve">Guarded hydraulic blocks reduced the apparent architecture advantage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0b3dd066232ee3f7fe1c84c6701d9733d614b25">
        <w:r>
          <w:rPr>
            <w:rStyle w:val="Hyperlink"/>
          </w:rPr>
          <w:t xml:space="preserve">8</w:t>
        </w:r>
      </w:hyperlink>
      <w:r>
        <w:t xml:space="preserve">). RO-PDRF-Full exceeded recovery-objective-matched RO-CAGF in six of</w:t>
      </w:r>
      <w:r>
        <w:t xml:space="preserve"> </w:t>
      </w:r>
      <w:r>
        <w:t xml:space="preserve">eight task–fault conditions. The mean difference was +0</w:t>
      </w:r>
      <w:r>
        <w:t xml:space="preserve">.</w:t>
      </w:r>
      <w:r>
        <w:t xml:space="preserve">015, but the task–fault–seed hierarchical interval</w:t>
      </w:r>
      <w:r>
        <w:t xml:space="preserve"> </w:t>
      </w:r>
      <w:r>
        <w:t xml:space="preserve">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 (RO-PDRF-Full</w:t>
      </w:r>
      <w:r>
        <w:t xml:space="preserve"> </w:t>
      </w:r>
      <w:r>
        <w:t xml:space="preserve">macro-AUROC 0.996) to near chance for pump and accumulator (0.528 and 0.487), limiting architecture</w:t>
      </w:r>
      <w:r>
        <w:t xml:space="preserve"> </w:t>
      </w:r>
      <w:r>
        <w:t xml:space="preserve">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9" w:name="x1-240018"/>
      <w:bookmarkEnd w:id="179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Guarded-block hydraulic affected-subset macro-AUROC.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five matched seeds. The eight task–fault rows are conditions from one rig, not</w:t>
      </w:r>
      <w:r>
        <w:t xml:space="preserve"> </w:t>
      </w:r>
      <w:r>
        <w:t xml:space="preserve">independent devices; the 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0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80"/>
          <w:p>
            <w:pPr>
              <w:spacing w:before="0" w:after="0" w:line="240" w:lineRule="auto"/>
            </w:pPr>
          </w:p>
        </w:tc>
      </w:tr>
    </w:tbl>
    <w:bookmarkEnd w:id="181"/>
    <w:bookmarkStart w:id="183" w:name="X8e9dbb9f0df082d1ad80c47d3199f724fe4ae34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82" w:name="x1-250004.7"/>
      <w:bookmarkEnd w:id="182"/>
      <w:r>
        <w:t xml:space="preserve">AHU direct diagnosis exposed a negative task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83"/>
    <w:bookmarkStart w:id="185" w:name="X0d59b414ce33ee4eed3884dd7ba6ae64d3cb47d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84" w:name="x1-260004.8"/>
      <w:bookmarkEnd w:id="184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hard-switch rate. On strict</w:t>
      </w:r>
      <w:r>
        <w:t xml:space="preserve"> </w:t>
      </w:r>
      <w:r>
        <w:t xml:space="preserve">rows where PDRF and RO-PDRF-Lite predicted the same class, Lite-CF NLL/ECE were 2.667/0.342,</w:t>
      </w:r>
      <w:r>
        <w:t xml:space="preserve"> </w:t>
      </w:r>
      <w:r>
        <w:t xml:space="preserve">between PDRF (2.821/0.349) and RO-PDRF-Lite (2.601/0.342). On endpoint-class disagreements,</w:t>
      </w:r>
      <w:r>
        <w:t xml:space="preserve"> </w:t>
      </w:r>
      <w:r>
        <w:t xml:space="preserve">Lite-CF NLL/ECE were 2.813/0.344; unconditional Lite was better at 2.616/0.207, whereas PDRF was</w:t>
      </w:r>
      <w:r>
        <w:t xml:space="preserve"> </w:t>
      </w:r>
      <w:r>
        <w:t xml:space="preserve">worse at 2.869/0.376. Lite-CF therefore reduced some probability loss without preserving the</w:t>
      </w:r>
      <w:r>
        <w:t xml:space="preserve"> </w:t>
      </w:r>
      <w:r>
        <w:t xml:space="preserve">recovery endpoint’s calibration advantage on disagreement cases (Fig. </w:t>
      </w:r>
      <w:hyperlink w:anchor="X80c37e1de83d558690fde3230fa1eada43d68a9">
        <w:r>
          <w:rPr>
            <w:rStyle w:val="Hyperlink"/>
          </w:rPr>
          <w:t xml:space="preserve">4</w:t>
        </w:r>
      </w:hyperlink>
      <w:r>
        <w:t xml:space="preserve">c,d). Equal-mass ECE,</w:t>
      </w:r>
      <w:r>
        <w:t xml:space="preserve"> </w:t>
      </w:r>
      <w:r>
        <w:t xml:space="preserve">classwise ECE, classwise AUROC/AUPRC/recall and reliability-bin counts are reported in the</w:t>
      </w:r>
      <w:r>
        <w:t xml:space="preserve"> </w:t>
      </w:r>
      <w:r>
        <w:t xml:space="preserve">Supplementary Information. No tested endpoint or router dominated hard-decision safety, ranking and</w:t>
      </w:r>
      <w:r>
        <w:t xml:space="preserve"> </w:t>
      </w:r>
      <w:r>
        <w:t xml:space="preserve">calibration.</w:t>
      </w:r>
    </w:p>
    <w:bookmarkEnd w:id="185"/>
    <w:bookmarkStart w:id="187" w:name="X06e9141e69ca33f8471b1bc161091592260460b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86" w:name="x1-270004.9"/>
      <w:bookmarkEnd w:id="186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stored parameters and 38,528 counted</w:t>
      </w:r>
      <w:r>
        <w:t xml:space="preserve"> </w:t>
      </w:r>
      <w:r>
        <w:t xml:space="preserve">linear-layer FLOPs per four-group observation. Lite-CF stores both endpoints plus six standardized</w:t>
      </w:r>
      <w:r>
        <w:t xml:space="preserve"> </w:t>
      </w:r>
      <w:r>
        <w:t xml:space="preserve">coefficients and an intercept. It requires two passes and 77,056 endpoint FLOPs; the logistic</w:t>
      </w:r>
      <w:r>
        <w:t xml:space="preserve"> </w:t>
      </w:r>
      <w:r>
        <w:t xml:space="preserve">operation is negligible relative to the endpoints. Mean training times on the stated CPU were</w:t>
      </w:r>
      <w:r>
        <w:t xml:space="preserve"> </w:t>
      </w:r>
      <w:r>
        <w:t xml:space="preserve">16.88 s for PDRF and 17.52 s for RO-PDRF-Lite, with identical mean checkpoint epoch</w:t>
      </w:r>
      <w:r>
        <w:t xml:space="preserve"> </w:t>
      </w:r>
      <w:r>
        <w:t xml:space="preserve">25.1. We did not repeat direct energy or latency measurements for Lite-CF, so its practical</w:t>
      </w:r>
      <w:r>
        <w:t xml:space="preserve"> </w:t>
      </w:r>
      <w:r>
        <w:t xml:space="preserve">comparison uses pass count and FLOPs only. The legacy Safe-CF-12 requires six passes at</w:t>
      </w:r>
      <w:r>
        <w:t xml:space="preserve"> </w:t>
      </w:r>
      <w:r>
        <w:t xml:space="preserve">four groups and scales as</w:t>
      </w:r>
      <w:r>
        <w:t xml:space="preserve"> </w:t>
      </w:r>
      <w:r>
        <w:t xml:space="preserve">M</w:t>
      </w:r>
      <w:r>
        <w:t xml:space="preserve"> </w:t>
      </w:r>
      <w:r>
        <w:t xml:space="preserve">+ 2; Cascade-25 reduces this to 2.91 mean passes on the current</w:t>
      </w:r>
      <w:r>
        <w:t xml:space="preserve"> </w:t>
      </w:r>
      <w:r>
        <w:t xml:space="preserve">strict set. Lite-CF is therefore the operational default, while Safe-CF-12 remains a high-cost</w:t>
      </w:r>
      <w:r>
        <w:t xml:space="preserve"> </w:t>
      </w:r>
      <w:r>
        <w:t xml:space="preserve">sensitivity.</w:t>
      </w:r>
    </w:p>
    <w:bookmarkEnd w:id="187"/>
    <w:bookmarkEnd w:id="188"/>
    <w:bookmarkStart w:id="190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89" w:name="x1-280005"/>
      <w:bookmarkEnd w:id="189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unconditional gains varied by mechanism. The</w:t>
      </w:r>
      <w:r>
        <w:t xml:space="preserve"> </w:t>
      </w:r>
      <w:r>
        <w:t xml:space="preserve">contribution is therefore not a universal fusion architecture. It is a risk-control protocol that</w:t>
      </w:r>
      <w:r>
        <w:t xml:space="preserve"> </w:t>
      </w:r>
      <w:r>
        <w:t xml:space="preserve">distinguishes fault assignment from an intervention that actually reaches an available group, measures</w:t>
      </w:r>
      <w:r>
        <w:t xml:space="preserve"> </w:t>
      </w:r>
      <w:r>
        <w:t xml:space="preserve">both correction and error transfer, and freezes a cross-fitted routing threshold before test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Cross-fitting addresses direct threshold leakage, not sparse-event estimation. Lite-CF had only</w:t>
      </w:r>
      <w:r>
        <w:t xml:space="preserve"> </w:t>
      </w:r>
      <w:r>
        <w:t xml:space="preserve">89.7 informative disagreements per endpoint pair on average. Repeated grouped fits showed</w:t>
      </w:r>
      <w:r>
        <w:t xml:space="preserve"> </w:t>
      </w:r>
      <w:r>
        <w:t xml:space="preserve">wide preference-AUROC and threshold ranges, and several entropy coefficients changed sign.</w:t>
      </w:r>
      <w:r>
        <w:t xml:space="preserve"> </w:t>
      </w:r>
      <w:r>
        <w:t xml:space="preserve">The six-feature, strongly shrunk model reduces dimensionality and deployment cost, but it</w:t>
      </w:r>
      <w:r>
        <w:t xml:space="preserve"> </w:t>
      </w:r>
      <w:r>
        <w:t xml:space="preserve">does not make the conditional score externally calibrated. The all-row three-outcome and</w:t>
      </w:r>
      <w:r>
        <w:t xml:space="preserve"> </w:t>
      </w:r>
      <w:r>
        <w:t xml:space="preserve">shallow-tree comparisons also failed to dominate. A deployment with too few examples from</w:t>
      </w:r>
      <w:r>
        <w:t xml:space="preserve"> </w:t>
      </w:r>
      <w:r>
        <w:t xml:space="preserve">either preference class should therefore use the base endpoint while collecting more calibration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safety–recovery trade-off remains substantial. Lite-CF prevented 94.7% of negative transfers but</w:t>
      </w:r>
      <w:r>
        <w:t xml:space="preserve"> </w:t>
      </w:r>
      <w:r>
        <w:t xml:space="preserve">retained only 9.7% of corrections. Equal harm and correction values produced a positive net result,</w:t>
      </w:r>
      <w:r>
        <w:t xml:space="preserve"> </w:t>
      </w:r>
      <w:r>
        <w:t xml:space="preserve">whereas a harm cost above approximately 2.9 correction values reversed that preference. No-fault net</w:t>
      </w:r>
      <w:r>
        <w:t xml:space="preserve"> </w:t>
      </w:r>
      <w:r>
        <w:t xml:space="preserve">correct change was slightly negative. These findings explain why hard-decision safety, ranking and</w:t>
      </w:r>
      <w:r>
        <w:t xml:space="preserve"> </w:t>
      </w:r>
      <w:r>
        <w:t xml:space="preserve">calibration must be reported separately. They also show why a low harmful-switch rate alone is insufficient</w:t>
      </w:r>
      <w:r>
        <w:t xml:space="preserve"> </w:t>
      </w:r>
      <w:r>
        <w:t xml:space="preserve">for deployment.</w:t>
      </w:r>
    </w:p>
    <w:p>
      <w:pPr>
        <w:pStyle w:val="BodyText"/>
      </w:pPr>
      <w:r>
        <w:t xml:space="preserve">The two-pass design materially improves the earlier six-pass endpoint hierarchy. It avoids</w:t>
      </w:r>
      <w:r>
        <w:t xml:space="preserve"> </w:t>
      </w:r>
      <w:r>
        <w:t xml:space="preserve">leave-one-group-out views and uses the software-default RO-PDRF-Lite endpoint. Even so, it stores two</w:t>
      </w:r>
      <w:r>
        <w:t xml:space="preserve"> </w:t>
      </w:r>
      <w:r>
        <w:t xml:space="preserve">models and doubles endpoint inference. The staged cascade offers another cost–safety compromise for the</w:t>
      </w:r>
      <w:r>
        <w:t xml:space="preserve"> </w:t>
      </w:r>
      <w:r>
        <w:t xml:space="preserve">Full endpoint but is not uniformly better. Because energy was not measured, the utility analysis uses</w:t>
      </w:r>
      <w:r>
        <w:t xml:space="preserve"> </w:t>
      </w:r>
      <w:r>
        <w:t xml:space="preserve">transparent pass and FLOP proxies and should not be interpreted as an energy-efficiency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Mechanism-fixed and batch-fixed intervals replace the four-mechanism population bootstrap for</w:t>
      </w:r>
      <w:r>
        <w:t xml:space="preserve"> </w:t>
      </w:r>
      <w:r>
        <w:t xml:space="preserve">headline inference. Gaussian gains were consistent across held-out batches. Offset and drift</w:t>
      </w:r>
      <w:r>
        <w:t xml:space="preserve"> </w:t>
      </w:r>
      <w:r>
        <w:t xml:space="preserve">intervals often crossed zero. All intervals still reuse one chemical instrument and the same</w:t>
      </w:r>
      <w:r>
        <w:t xml:space="preserve"> </w:t>
      </w:r>
      <w:r>
        <w:t xml:space="preserve">held-out observations; they quantify fitting variation, not independent devices. The formal scale-3</w:t>
      </w:r>
      <w:r>
        <w:t xml:space="preserve"> </w:t>
      </w:r>
      <w:r>
        <w:t xml:space="preserve">interventions are also severe standardized stress tests: most corrupted values fall outside the</w:t>
      </w:r>
      <w:r>
        <w:t xml:space="preserve"> </w:t>
      </w:r>
      <w:r>
        <w:t xml:space="preserve">training 1st–99th percentile interval. This improves auditability but further limits natural-failure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Transfer tests support specified controlled-corruption robustness, not natural hardware-failure</w:t>
      </w:r>
      <w:r>
        <w:t xml:space="preserve"> </w:t>
      </w:r>
      <w:r>
        <w:t xml:space="preserve">or device transfer. The hydraulic rig supplies native downstream condition labels, yet the</w:t>
      </w:r>
      <w:r>
        <w:t xml:space="preserve"> </w:t>
      </w:r>
      <w:r>
        <w:t xml:space="preserve">guarded architecture interval crosses zero and several tasks are near chance. It is single-rig</w:t>
      </w:r>
      <w:r>
        <w:t xml:space="preserve"> </w:t>
      </w:r>
      <w:r>
        <w:t xml:space="preserve">sensitivity evidence. The AHU target is the sensor fault itself, so direct diagnosis rewards</w:t>
      </w:r>
      <w:r>
        <w:t xml:space="preserve"> </w:t>
      </w:r>
      <w:r>
        <w:t xml:space="preserve">preserving an anomalous signature that recovery may suppress. A field-recovery test requires</w:t>
      </w:r>
      <w:r>
        <w:t xml:space="preserve"> </w:t>
      </w:r>
      <w:r>
        <w:t xml:space="preserve">adjudicated sensor failures together with an independent control, energy, comfort or component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Additional boundaries remain. Response saturation prevents interval-scale device-health</w:t>
      </w:r>
      <w:r>
        <w:t xml:space="preserve"> </w:t>
      </w:r>
      <w:r>
        <w:t xml:space="preserve">interpretation. Wrong clean teachers can propagate errors. No endpoint dominates probability quality and</w:t>
      </w:r>
      <w:r>
        <w:t xml:space="preserve"> </w:t>
      </w:r>
      <w:r>
        <w:t xml:space="preserve">selective risk. Misleading quality metadata create another failure route. The evidence comes from</w:t>
      </w:r>
      <w:r>
        <w:t xml:space="preserve"> </w:t>
      </w:r>
      <w:r>
        <w:t xml:space="preserve">controlled feature corruptions, one chemical instrument, one hydraulic rig and expert/rule-based AHU</w:t>
      </w:r>
      <w:r>
        <w:t xml:space="preserve"> </w:t>
      </w:r>
      <w:r>
        <w:t xml:space="preserve">labels. Freezing the runs does not remove researcher-level adaptive-development risk. Prospective</w:t>
      </w:r>
      <w:r>
        <w:t xml:space="preserve"> </w:t>
      </w:r>
      <w:r>
        <w:t xml:space="preserve">multi-device evaluation is required before field-recovery claims are warranted.</w:t>
      </w:r>
    </w:p>
    <w:bookmarkEnd w:id="190"/>
    <w:bookmarkStart w:id="192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91" w:name="x1-290006"/>
      <w:bookmarkEnd w:id="191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endpoint into an explicit deployment</w:t>
      </w:r>
      <w:r>
        <w:t xml:space="preserve"> </w:t>
      </w:r>
      <w:r>
        <w:t xml:space="preserve">trade-off. On the strict controlled-corruption estimand, two-pass Lite-CF prevented 94.7% of negative</w:t>
      </w:r>
      <w:r>
        <w:t xml:space="preserve"> </w:t>
      </w:r>
      <w:r>
        <w:t xml:space="preserve">transfers while retaining 9.7% of corrections. Its mean macro-AUROC and probability quality lay between</w:t>
      </w:r>
      <w:r>
        <w:t xml:space="preserve"> </w:t>
      </w:r>
      <w:r>
        <w:t xml:space="preserve">PDRF and unconditional RO-PDRF-Lite. Utility was positive only over a bounded range of harm costs,</w:t>
      </w:r>
      <w:r>
        <w:t xml:space="preserve"> </w:t>
      </w:r>
      <w:r>
        <w:t xml:space="preserve">and no-fault net change was slightly negative. Repeated grouped calibration exposed substantial threshold</w:t>
      </w:r>
      <w:r>
        <w:t xml:space="preserve"> </w:t>
      </w:r>
      <w:r>
        <w:t xml:space="preserve">and coefficient instability, while mechanism-fixed and batch-fixed analyses showed that gains were not</w:t>
      </w:r>
      <w:r>
        <w:t xml:space="preserve"> </w:t>
      </w:r>
      <w:r>
        <w:t xml:space="preserve">uniform across corruption types. The supported contribution is a reproducible hard-decision risk-control</w:t>
      </w:r>
      <w:r>
        <w:t xml:space="preserve"> </w:t>
      </w:r>
      <w:r>
        <w:t xml:space="preserve">protocol for controlled available-group corruption. It is not evidence for calibrated device health, a</w:t>
      </w:r>
      <w:r>
        <w:t xml:space="preserve"> </w:t>
      </w:r>
      <w:r>
        <w:t xml:space="preserve">fault-population effect, maintenance-confirmed natural failures or device-independent field</w:t>
      </w:r>
      <w:r>
        <w:t xml:space="preserve"> </w:t>
      </w:r>
      <w:r>
        <w:t xml:space="preserve">recovery.</w:t>
      </w:r>
    </w:p>
    <w:bookmarkEnd w:id="192"/>
    <w:bookmarkStart w:id="196" w:name="data-and-code-availability"/>
    <w:p>
      <w:pPr>
        <w:pStyle w:val="Heading3"/>
      </w:pPr>
      <w:bookmarkStart w:id="193" w:name="x1-30000"/>
      <w:bookmarkEnd w:id="193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194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4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7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195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frozen computational snapshot is commit</w:t>
      </w:r>
      <w:r>
        <w:t xml:space="preserve"> </w:t>
      </w:r>
      <w:r>
        <w:t xml:space="preserve">e200607e648dbbdd230b881f150de08a6da3e525</w:t>
      </w:r>
      <w:r>
        <w:t xml:space="preserve">, archived under</w:t>
      </w:r>
      <w:r>
        <w:t xml:space="preserve"> </w:t>
      </w:r>
      <w:r>
        <w:t xml:space="preserve">release tag</w:t>
      </w:r>
      <w:r>
        <w:t xml:space="preserve"> </w:t>
      </w:r>
      <w:r>
        <w:t xml:space="preserve">v1.1.0-cee-q1</w:t>
      </w:r>
      <w:r>
        <w:t xml:space="preserve">. A permanent software DOI has not been assigned.</w:t>
      </w:r>
    </w:p>
    <w:bookmarkEnd w:id="196"/>
    <w:bookmarkStart w:id="198" w:name="ethics-statement"/>
    <w:p>
      <w:pPr>
        <w:pStyle w:val="Heading3"/>
      </w:pPr>
      <w:bookmarkStart w:id="197" w:name="x1-31000"/>
      <w:bookmarkEnd w:id="197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198"/>
    <w:bookmarkStart w:id="200" w:name="author-contributions"/>
    <w:p>
      <w:pPr>
        <w:pStyle w:val="Heading3"/>
      </w:pPr>
      <w:bookmarkStart w:id="199" w:name="x1-32000"/>
      <w:bookmarkEnd w:id="199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00"/>
    <w:bookmarkStart w:id="202" w:name="acknowledgements-and-funding"/>
    <w:p>
      <w:pPr>
        <w:pStyle w:val="Heading3"/>
      </w:pPr>
      <w:bookmarkStart w:id="201" w:name="x1-33000"/>
      <w:bookmarkEnd w:id="201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02"/>
    <w:bookmarkStart w:id="204" w:name="declaration-of-interests"/>
    <w:p>
      <w:pPr>
        <w:pStyle w:val="Heading3"/>
      </w:pPr>
      <w:bookmarkStart w:id="203" w:name="x1-34000"/>
      <w:bookmarkEnd w:id="203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04"/>
    <w:bookmarkStart w:id="295" w:name="references"/>
    <w:p>
      <w:pPr>
        <w:pStyle w:val="Heading3"/>
      </w:pPr>
      <w:bookmarkStart w:id="205" w:name="x1-35000"/>
      <w:bookmarkEnd w:id="205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06" w:name="Xliu2025deployment"/>
      <w:bookmarkEnd w:id="206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07" w:name="Xchakraborti2025personalized"/>
      <w:bookmarkEnd w:id="207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08" w:name="Xmitra2023structured"/>
      <w:bookmarkEnd w:id="208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09" w:name="Xwu2026survey"/>
      <w:bookmarkEnd w:id="209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10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11" w:name="Xneverova2016moddrop"/>
      <w:bookmarkEnd w:id="211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12" w:name="Xli2024umdf"/>
      <w:bookmarkEnd w:id="212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13" w:name="Xwoo2023practices"/>
      <w:bookmarkEnd w:id="213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14" w:name="Xwang2024gradient"/>
      <w:bookmarkEnd w:id="214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15" w:name="Xmckinzie2023mismatch"/>
      <w:bookmarkEnd w:id="215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16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17" w:name="Xyao2024drfuse"/>
      <w:bookmarkEnd w:id="217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18" w:name="Xhuang2025mgr"/>
      <w:bookmarkEnd w:id="218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19" w:name="Xgao2024aleatoric"/>
      <w:bookmarkEnd w:id="219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20" w:name="Xcho2025cocoon"/>
      <w:bookmarkEnd w:id="220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21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22" w:name="Xpark2025mome"/>
      <w:bookmarkEnd w:id="222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23" w:name="Xsidheekh2025credibility"/>
      <w:bookmarkEnd w:id="223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24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25" w:name="Xliu2025rejection"/>
      <w:bookmarkEnd w:id="225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26" w:name="Xrabanser2025selective"/>
      <w:bookmarkEnd w:id="226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27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28" w:name="Xzhang2023qmf"/>
      <w:bookmarkEnd w:id="228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29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30" w:name="Xkullaa2011distinguishing"/>
      <w:bookmarkEnd w:id="230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31" w:name="Xkullaa2013sensor"/>
      <w:bookmarkEnd w:id="231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32" w:name="Xhelwig2015sensorfault"/>
      <w:bookmarkEnd w:id="232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33" w:name="Xhelwig2015condition"/>
      <w:bookmarkEnd w:id="233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34" w:name="Xma2021multirate"/>
      <w:bookmarkEnd w:id="234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35" w:name="Xkeleko2023hydraulic"/>
      <w:bookmarkEnd w:id="235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36" w:name="Xyildirim2025hydraulic"/>
      <w:bookmarkEnd w:id="236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37" w:name="Xwang2025ahuoperational"/>
      <w:bookmarkEnd w:id="237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38" w:name="Xwang2024ahudataset"/>
      <w:bookmarkEnd w:id="238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39" w:name="Xwang2025ahutransformer"/>
      <w:bookmarkEnd w:id="239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40" w:name="Xfeng2024attention"/>
      <w:bookmarkEnd w:id="240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41" w:name="Xwang2026temporal"/>
      <w:bookmarkEnd w:id="241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42" w:name="Xkendall2017uncertainties"/>
      <w:bookmarkEnd w:id="242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43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44" w:name="Xhullermeier2021uncertainty"/>
      <w:bookmarkEnd w:id="244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45" w:name="Xlakshminarayanan2017ensembles"/>
      <w:bookmarkEnd w:id="245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46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47" w:name="Xguo2017calibration"/>
      <w:bookmarkEnd w:id="247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48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49" w:name="Xovadia2019trust"/>
      <w:bookmarkEnd w:id="249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50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51" w:name="Xminderer2021calibration"/>
      <w:bookmarkEnd w:id="251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52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53" w:name="Xvaicenavicius2019calibration"/>
      <w:bookmarkEnd w:id="253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54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55" w:name="Xlittle2019missing"/>
      <w:bookmarkEnd w:id="255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56" w:name="Xkull2019dirichlet"/>
      <w:bookmarkEnd w:id="256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57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58" w:name="Xmortier2023classifier"/>
      <w:bookmarkEnd w:id="258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59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60" w:name="Xpodkopaev2021distribution"/>
      <w:bookmarkEnd w:id="260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61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62" w:name="Xsun2016coral"/>
      <w:bookmarkEnd w:id="262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63" w:name="Xsagawa2020groupdro"/>
      <w:bookmarkEnd w:id="263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64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65" w:name="Xmirza2022normalization"/>
      <w:bookmarkEnd w:id="265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66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67" w:name="Xelyaniv2010selective"/>
      <w:bookmarkEnd w:id="267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68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69" w:name="Xgeifman2019selectivenet"/>
      <w:bookmarkEnd w:id="269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71" w:name="Xfranc2023reject"/>
      <w:bookmarkEnd w:id="271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72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73" w:name="Xliang2024selective"/>
      <w:bookmarkEnd w:id="273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74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75" w:name="Xmozannar2020defer"/>
      <w:bookmarkEnd w:id="275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76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77" w:name="Xtailor2024population"/>
      <w:bookmarkEnd w:id="277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78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79" w:name="Xchen2012cascade"/>
      <w:bookmarkEnd w:id="279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80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81" w:name="Xcruz2018dynamic"/>
      <w:bookmarkEnd w:id="281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82" w:name="Xdietterich1998tests"/>
      <w:bookmarkEnd w:id="282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83" w:name="Xdemsar2006statistical"/>
      <w:bookmarkEnd w:id="283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84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85" w:name="Xefron1994bootstrap"/>
      <w:bookmarkEnd w:id="285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86" w:name="Xmcnemar1947correlated"/>
      <w:bookmarkEnd w:id="286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87" w:name="Xsaito2015precision"/>
      <w:bookmarkEnd w:id="287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88" w:name="Xtarvainen2017mean"/>
      <w:bookmarkEnd w:id="288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289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290" w:name="Xyang2021pairwise"/>
      <w:bookmarkEnd w:id="290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291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292" w:name="Xvergara2012dataset"/>
      <w:bookmarkEnd w:id="292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293" w:name="Xvergara2012drift"/>
      <w:bookmarkEnd w:id="293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294" w:name="Xhelwig2018hydraulic"/>
      <w:bookmarkEnd w:id="294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295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under controlled multi-sensor corruption</dc:title>
  <dc:creator>Riyang Luo</dc:creator>
  <dc:language>en-US</dc:language>
  <cp:keywords/>
  <dcterms:created xsi:type="dcterms:W3CDTF">2026-07-15T03:39:15Z</dcterms:created>
  <dcterms:modified xsi:type="dcterms:W3CDTF">2026-07-15T03:39:15Z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