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under controlled multi-sensor corruption</w:t>
      </w:r>
    </w:p>
    <w:bookmarkStart w:id="9" w:name="X65e4471eedae2a12cee77cc9dc14e9d50242d84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under controlled multi-sensor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35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the selected</w:t>
      </w:r>
      <w:r>
        <w:t xml:space="preserve"> </w:t>
      </w:r>
      <w:r>
        <w:t xml:space="preserve">temperature-scaled probability vector,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Lite-CF standardized coefficient and sign stability over 500 fold fits. Dominant sign is the larger of positive-</w:t>
      </w:r>
      <w:r>
        <w:t xml:space="preserve"> </w:t>
      </w:r>
      <w:r>
        <w:t xml:space="preserve">and negative-sign frequency; it is not a causal importance measure.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Lite-CF regularization path. Values average five grouped repeats for each of 10 endpoint pairs. The 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observations. Harm-to-correction ratios are</w:t>
      </w:r>
      <w:r>
        <w:t xml:space="preserve"> </w:t>
      </w:r>
      <w:r>
        <w:t xml:space="preserve">1, 2, 5 and 10; pass penalties are 0, 0.5 and 2 correction equivalents per 10,000. The complete source file preserves seed- and</w:t>
      </w:r>
      <w:r>
        <w:t xml:space="preserve"> </w:t>
      </w:r>
      <w:r>
        <w:t xml:space="preserve">mechanism-level values. Energy was not measured. Consequently, neither the pass penalty nor counted FLOPs are presented</w:t>
      </w:r>
      <w:r>
        <w:t xml:space="preserve"> </w:t>
      </w:r>
      <w:r>
        <w:t xml:space="preserve">as electrical-energy estimates.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35"/>
    <w:bookmarkStart w:id="65" w:name="X053ecf3c2742f8761add5c5822a43135ed72008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36" w:name="x1-30003"/>
      <w:bookmarkEnd w:id="3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37" w:name="x1-3001r12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39" w:name="x1-3002r13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41" w:name="x1-3003r14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43" w:name="x1-3004r15"/>
      <w:bookmarkEnd w:id="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4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45" w:name="x1-3005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47" w:name="x1-3006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49" w:name="x1-3007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51" w:name="x1-3008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53" w:name="x1-3009r20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55" w:name="x1-3010r21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57" w:name="x1-3011r22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59" w:name="x1-3012r23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</w:t>
      </w:r>
      <w:r>
        <w:t xml:space="preserve"> </w:t>
      </w:r>
      <w:r>
        <w:t xml:space="preserve">data loading. The runtime is an Intel Core i5-13500H with PyTorch 2.12.1+cpu and 12 intra-op and inter-op</w:t>
      </w:r>
      <w:r>
        <w:t xml:space="preserve"> </w:t>
      </w:r>
      <w:r>
        <w:t xml:space="preserve">threads.</w:t>
      </w:r>
    </w:p>
    <w:p>
      <w:pPr>
        <w:pStyle w:val="BodyText"/>
      </w:pPr>
      <w:bookmarkStart w:id="61" w:name="x1-3013r24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63" w:name="x1-3014r25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65"/>
    <w:bookmarkStart w:id="81" w:name="faultsubset-batch-and-class-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66" w:name="x1-40004"/>
      <w:bookmarkEnd w:id="66"/>
      <w:r>
        <w:t xml:space="preserve">Fault-subset, batch and class results</w:t>
      </w:r>
    </w:p>
    <w:p>
      <w:pPr>
        <w:pStyle w:val="FirstParagraph"/>
      </w:pPr>
      <w:bookmarkStart w:id="67" w:name="x1-4001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69" w:name="x1-4002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71" w:name="x1-4003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Severity audit against the empirical training distribution. Percentile shifts are absolute changes in</w:t>
      </w:r>
      <w:r>
        <w:t xml:space="preserve"> </w:t>
      </w:r>
      <w:r>
        <w:t xml:space="preserve">empirical cumulative probability. The formal scale-3 setting is a severe stress test.</w:t>
      </w:r>
    </w:p>
    <w:p>
      <w:pPr>
        <w:pStyle w:val="BodyText"/>
      </w:pPr>
      <w:bookmarkStart w:id="73" w:name="x1-4004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75" w:name="x1-4005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77" w:name="x1-4006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79" w:name="x1-4007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81"/>
    <w:bookmarkStart w:id="85" w:name="diagnosticquality-control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2" w:name="x1-50005"/>
      <w:bookmarkEnd w:id="82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83" w:name="x1-5001r33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85"/>
    <w:bookmarkStart w:id="91" w:name="sensor-grouping-and-unseen-group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86" w:name="x1-60006"/>
      <w:bookmarkEnd w:id="86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87" w:name="x1-6001r34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89" w:name="x1-6002r35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91"/>
    <w:bookmarkStart w:id="93" w:name="fault-prevalence-severity-and-location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92" w:name="x1-70007"/>
      <w:bookmarkEnd w:id="92"/>
      <w:r>
        <w:t xml:space="preserve">Fault prevalence, severity and location</w:t>
      </w:r>
    </w:p>
    <w:p>
      <w:pPr>
        <w:pStyle w:val="FirstParagraph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93"/>
    <w:bookmarkStart w:id="95" w:name="score-semantics-and-directional-audit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94" w:name="x1-80008"/>
      <w:bookmarkEnd w:id="94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95"/>
    <w:bookmarkStart w:id="99" w:name="hyperparameter-sensitivity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96" w:name="x1-90009"/>
      <w:bookmarkEnd w:id="96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97" w:name="x1-9001r36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99"/>
    <w:bookmarkStart w:id="109" w:name="independent-hydraulic-validation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00" w:name="x1-1000010"/>
      <w:bookmarkEnd w:id="100"/>
      <w:r>
        <w:t xml:space="preserve">Independent hydraulic validation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01" w:name="x1-10001r37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  <w:tc>
          <w:tcPr/>
          <w:bookmarkStart w:id="103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04" w:name="x1-10002r38"/>
      <w:bookmarkEnd w:id="1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5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05"/>
          <w:p>
            <w:pPr>
              <w:spacing w:before="0" w:after="0" w:line="240" w:lineRule="auto"/>
            </w:pPr>
          </w:p>
        </w:tc>
        <w:tc>
          <w:tcPr/>
          <w:bookmarkStart w:id="106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07" w:name="x1-10003r39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09"/>
    <w:bookmarkStart w:id="115" w:name="X3240f72ee276063f78f9afd20dcf4d765385ecc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10" w:name="x1-1100011"/>
      <w:bookmarkEnd w:id="110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11" w:name="x1-11001r40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13" w:name="x1-11002r41"/>
      <w:bookmarkEnd w:id="1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4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15"/>
    <w:bookmarkStart w:id="141" w:name="X6b65fda40896cada606db5cb1e8c8664f32fcb6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16" w:name="x1-1200012"/>
      <w:bookmarkEnd w:id="116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17" w:name="x1-12001r42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19" w:name="x1-12002r43"/>
      <w:bookmarkEnd w:id="1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0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21" w:name="x1-12003r44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23" w:name="x1-12004r45"/>
      <w:bookmarkEnd w:id="1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4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25" w:name="x1-12005r46"/>
      <w:bookmarkEnd w:id="1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6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31" w:name="x1-12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27" w:name="Xeda6489b52b42db5bc1a8aba4771283f9f596c4"/>
            <w:bookmarkEnd w:id="12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31"/>
    <w:bookmarkStart w:id="136" w:name="x1-12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32" w:name="X14e9becebe1e677a195bca01e31fbab25d08cb6"/>
            <w:bookmarkEnd w:id="13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36"/>
    <w:p>
      <w:pPr>
        <w:pStyle w:val="BodyText"/>
      </w:pPr>
      <w:bookmarkStart w:id="137" w:name="x1-12008r47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39" w:name="x1-12009r48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41"/>
    <w:bookmarkStart w:id="156" w:name="Xf4120212549880c6f761f813d869c8dde8a7d2b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42" w:name="x1-1300013"/>
      <w:bookmarkEnd w:id="142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43" w:name="x1-13001r49"/>
      <w:bookmarkEnd w:id="1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4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45" w:name="x1-13002r50"/>
      <w:bookmarkEnd w:id="1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47" w:name="x1-13003r51"/>
      <w:bookmarkEnd w:id="1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49" w:name="x1-13004r52"/>
      <w:bookmarkEnd w:id="1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55" w:name="x1-13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1" w:name="Xec95cabfc16f09e0d1455d0476b40c9251da864"/>
            <w:bookmarkEnd w:id="15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55"/>
    <w:bookmarkEnd w:id="156"/>
    <w:bookmarkStart w:id="160" w:name="scoregeometry-sensitivity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57" w:name="x1-1400014"/>
      <w:bookmarkEnd w:id="157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58" w:name="x1-14001r53"/>
      <w:bookmarkEnd w:id="1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9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60"/>
    <w:bookmarkStart w:id="164" w:name="hydraulic-nointerpolation-audit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61" w:name="x1-1500015"/>
      <w:bookmarkEnd w:id="161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62" w:name="x1-15001r54"/>
      <w:bookmarkEnd w:id="1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3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64"/>
    <w:bookmarkStart w:id="196" w:name="X59bb53cc35df152918cf6b61790914aeba30b63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65" w:name="x1-1600016"/>
      <w:bookmarkEnd w:id="165"/>
      <w:r>
        <w:t xml:space="preserve">Real-operational AHU sensor-fault validation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S55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66" w:name="x1-16001r55"/>
      <w:bookmarkEnd w:id="16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7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6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68" w:name="x1-16002r56"/>
      <w:bookmarkEnd w:id="16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9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6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70" w:name="x1-16003r57"/>
      <w:bookmarkEnd w:id="17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72" w:name="x1-16004r58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S56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74" w:name="x1-16005r59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S60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76" w:name="x1-16006r60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78" w:name="x1-16007r61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84" w:name="x1-16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0" w:name="X6b33f746004aa39f530f86014b516ffaa230d04"/>
            <w:bookmarkEnd w:id="1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84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85" w:name="x1-16009r62"/>
      <w:bookmarkEnd w:id="1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6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1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187" w:name="x1-16010r63"/>
      <w:bookmarkEnd w:id="1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8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1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189" w:name="x1-16011r64"/>
      <w:bookmarkEnd w:id="1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0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1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195" w:name="x1-16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1" w:name="X66795803584d3a9da60120d1a82c36daaeed758"/>
            <w:bookmarkEnd w:id="19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195"/>
    <w:bookmarkEnd w:id="196"/>
    <w:bookmarkStart w:id="220" w:name="X9f66ad2798df63c232dca56e578c408d5517577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97" w:name="x1-1700017"/>
      <w:bookmarkEnd w:id="197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S65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198" w:name="x1-17001r65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00" w:name="x1-17002r66"/>
      <w:bookmarkEnd w:id="20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0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02" w:name="x1-17003r67"/>
      <w:bookmarkEnd w:id="20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04" w:name="x1-17004r68"/>
      <w:bookmarkEnd w:id="2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0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06" w:name="x1-17005r69"/>
      <w:bookmarkEnd w:id="20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7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0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12" w:name="x1-17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8" w:name="X3a1f417d54c90f38d88e70cf1beb43c8ca90cca"/>
            <w:bookmarkEnd w:id="20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12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13" w:name="x1-17007r70"/>
      <w:bookmarkEnd w:id="2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4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19" w:name="x1-17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5" w:name="X0e69bb857b8943688307804e0b13295031a8581"/>
            <w:bookmarkEnd w:id="21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19"/>
    <w:bookmarkEnd w:id="220"/>
    <w:bookmarkStart w:id="232" w:name="Xda201bf6672fdf04fcf8c5c079ab95e6263b622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21" w:name="x1-1800018"/>
      <w:bookmarkEnd w:id="221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22" w:name="x1-18001r71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24" w:name="x1-18002r72"/>
      <w:bookmarkEnd w:id="2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5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2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26" w:name="x1-18003r73"/>
      <w:bookmarkEnd w:id="22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7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2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28" w:name="x1-18004r74"/>
      <w:bookmarkEnd w:id="22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2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30" w:name="x1-18005r75"/>
      <w:bookmarkEnd w:id="23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3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32"/>
    <w:bookmarkStart w:id="240" w:name="X4c44e3559c3e75cf6bad14b46e1ec69ad17387c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33" w:name="x1-1900019"/>
      <w:bookmarkEnd w:id="233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34" w:name="x1-19001r76"/>
      <w:bookmarkEnd w:id="2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5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36" w:name="x1-19002r77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38" w:name="x1-19003r78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Nearest-training-cycle audit in standardized 240-dimensional hydraulic feature space.</w:t>
      </w:r>
    </w:p>
    <w:bookmarkEnd w:id="240"/>
    <w:bookmarkStart w:id="258" w:name="X2422d8abbca0b24ed49df6949ead35d55d7fbf5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41" w:name="x1-2000020"/>
      <w:bookmarkEnd w:id="241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42" w:name="x1-20001r79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fixed-ensemble probability quality under probability and logit averaging.</w:t>
      </w:r>
    </w:p>
    <w:bookmarkStart w:id="248" w:name="x1-20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4" w:name="Xb4fbd86cfb18846f699e38b3225243d2fb9c3d5"/>
            <w:bookmarkEnd w:id="24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48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49" w:name="x1-20003r80"/>
      <w:bookmarkEnd w:id="2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0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51" w:name="x1-20004r81"/>
      <w:bookmarkEnd w:id="2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2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57" w:name="x1-20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3" w:name="X228bb6e5c92f229a2a3cbe4b635ea8ac16bc1ed"/>
            <w:bookmarkEnd w:id="25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57"/>
    <w:bookmarkEnd w:id="258"/>
    <w:bookmarkStart w:id="286" w:name="archived-originalprotocol-analyses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9" w:name="x1-2100021"/>
      <w:bookmarkEnd w:id="259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60" w:name="x1-21001r82"/>
      <w:bookmarkEnd w:id="26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1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62" w:name="x1-21002r83"/>
      <w:bookmarkEnd w:id="2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3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64" w:name="x1-21003r84"/>
      <w:bookmarkEnd w:id="26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5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6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70" w:name="x1-21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6" w:name="X940203e12ada9d4be95ebff6f4c623a4797bed2"/>
            <w:bookmarkEnd w:id="26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70"/>
    <w:bookmarkStart w:id="275" w:name="x1-21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1" w:name="X9178c56c7d5bfdc1aafdecdd469785d4d62ae00"/>
            <w:bookmarkEnd w:id="27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75"/>
    <w:bookmarkStart w:id="280" w:name="x1-21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6" w:name="X1141f10bc0af46dfd5b303139eabc0871fa0a5e"/>
            <w:bookmarkEnd w:id="27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80"/>
    <w:bookmarkStart w:id="285" w:name="x1-21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1" w:name="X1dc45eca63888e8e1d43316cfd64bf72fda671c"/>
            <w:bookmarkEnd w:id="28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85"/>
    <w:bookmarkEnd w:id="286"/>
    <w:bookmarkStart w:id="291" w:name="external-publicdata-feasibility-audit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87" w:name="x1-2200022"/>
      <w:bookmarkEnd w:id="287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288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289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290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291"/>
    <w:bookmarkStart w:id="293" w:name="reproducibility-and-scope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292" w:name="x1-2300023"/>
      <w:bookmarkEnd w:id="292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make_cee_q1_figures.py</w:t>
      </w:r>
      <w:r>
        <w:t xml:space="preserve">. The</w:t>
      </w:r>
      <w:r>
        <w:t xml:space="preserve"> </w:t>
      </w:r>
      <w:r>
        <w:t xml:space="preserve">machine-readable frozen design is</w:t>
      </w:r>
      <w:r>
        <w:t xml:space="preserve"> </w:t>
      </w:r>
      <w:r>
        <w:t xml:space="preserve">cee_cf10_r2_lite_config.json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safety accounting, model</w:t>
      </w:r>
      <w:r>
        <w:t xml:space="preserve"> </w:t>
      </w:r>
      <w:r>
        <w:t xml:space="preserve">costs, probability metrics and fixed-mechanism/batch intervals are stored under</w:t>
      </w:r>
      <w:r>
        <w:t xml:space="preserve"> </w:t>
      </w:r>
      <w:r>
        <w:t xml:space="preserve">source_data/q1_*</w:t>
      </w:r>
      <w:r>
        <w:t xml:space="preserve">. Figures use</w:t>
      </w:r>
      <w:r>
        <w:t xml:space="preserve"> </w:t>
      </w:r>
      <w:r>
        <w:t xml:space="preserve">Python/matplotlib exclusively. Editable SVG/PDF figures and 600-dpi TIFFs are included.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29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2" Type="http://schemas.openxmlformats.org/officeDocument/2006/relationships/image" Target="media/rId272.png"/><Relationship Id="rId267" Type="http://schemas.openxmlformats.org/officeDocument/2006/relationships/image" Target="media/rId267.png"/><Relationship Id="rId277" Type="http://schemas.openxmlformats.org/officeDocument/2006/relationships/image" Target="media/rId277.png"/><Relationship Id="rId282" Type="http://schemas.openxmlformats.org/officeDocument/2006/relationships/image" Target="media/rId282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9" Type="http://schemas.openxmlformats.org/officeDocument/2006/relationships/image" Target="media/rId209.png"/><Relationship Id="rId216" Type="http://schemas.openxmlformats.org/officeDocument/2006/relationships/image" Target="media/rId216.png"/><Relationship Id="rId245" Type="http://schemas.openxmlformats.org/officeDocument/2006/relationships/image" Target="media/rId245.png"/><Relationship Id="rId254" Type="http://schemas.openxmlformats.org/officeDocument/2006/relationships/image" Target="media/rId254.png"/><Relationship Id="rId133" Type="http://schemas.openxmlformats.org/officeDocument/2006/relationships/image" Target="media/rId133.png"/><Relationship Id="rId152" Type="http://schemas.openxmlformats.org/officeDocument/2006/relationships/image" Target="media/rId152.png"/><Relationship Id="rId128" Type="http://schemas.openxmlformats.org/officeDocument/2006/relationships/image" Target="media/rId128.png"/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2026-07-14T17:44:09Z</dcterms:created>
  <dcterms:modified xsi:type="dcterms:W3CDTF">2026-07-14T17:44:09Z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