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</w:t>
      </w:r>
      <w:r>
        <w:t xml:space="preserve"> </w:t>
      </w:r>
      <w:r>
        <w:t xml:space="preserve">Cross-fitted selective recovery for fault-tolerant multi-sensor fusion under sensor corruption</w:t>
      </w:r>
    </w:p>
    <w:bookmarkStart w:id="9" w:name="X7d7f8bca907788efc104ab57611165272ec6e86"/>
    <w:p>
      <w:pPr>
        <w:pStyle w:val="Heading1"/>
      </w:pPr>
      <w:r>
        <w:t xml:space="preserve">Supplementary information</w:t>
      </w:r>
      <w:r>
        <w:br/>
      </w:r>
      <w:r>
        <w:t xml:space="preserve">Cross-fitted selective recovery for fault-tolerant multi-sensor fusion under</w:t>
      </w:r>
      <w:r>
        <w:t xml:space="preserve"> </w:t>
      </w:r>
      <w:r>
        <w:t xml:space="preserve">sensor corruption</w:t>
      </w:r>
    </w:p>
    <w:p>
      <w:pPr>
        <w:pStyle w:val="FirstParagraph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5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Linear(32,64), ReLU, Linear(64,32), ReLU. The hydraulic encoder is Linear(48,64),</w:t>
      </w:r>
      <w:r>
        <w:t xml:space="preserve"> </w:t>
      </w:r>
      <w:r>
        <w:t xml:space="preserve">ReLU, Linear(64,32), ReLU. The AHU group encoder uses the same architecture with four inputs. The logit head is</w:t>
      </w:r>
      <w:r>
        <w:t xml:space="preserve"> </w:t>
      </w:r>
      <w:r>
        <w:t xml:space="preserve">Linear(32,</w:t>
      </w:r>
      <w:r>
        <w:t xml:space="preserve">C</w:t>
      </w:r>
      <w:r>
        <w:t xml:space="preserve">). The score head is Linear(32,16), ReLU, Linear(16,1).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</w:t>
      </w:r>
      <w:r>
        <w:t xml:space="preserve"> </w:t>
      </w:r>
      <w:r>
        <w:t xml:space="preserve">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 normalization,</w:t>
      </w:r>
      <w:r>
        <w:t xml:space="preserve"> </w:t>
      </w:r>
      <w:r>
        <w:t xml:space="preserve">layer normalization or dropout is used.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5"/>
    <w:bookmarkStart w:id="43" w:name="X053ecf3c2742f8761add5c5822a43135ed72008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6" w:name="x1-20002"/>
      <w:bookmarkEnd w:id="16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17" w:name="x1-2001r3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Frozen run manifest. The test realization, temperature protocol, checkpoint pair and selector protocol are</w:t>
      </w:r>
      <w:r>
        <w:t xml:space="preserve"> </w:t>
      </w:r>
      <w:r>
        <w:t xml:space="preserve">common to all CEE-CF10-R2 headline tables.</w:t>
      </w:r>
    </w:p>
    <w:p>
      <w:pPr>
        <w:pStyle w:val="BodyText"/>
      </w:pPr>
      <w:bookmarkStart w:id="19" w:name="x1-2002r4"/>
      <w:bookmarkEnd w:id="1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</w:t>
                  </w:r>
                </w:p>
              </w:tc>
            </w:tr>
          </w:tbl>
          <w:bookmarkEnd w:id="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21" w:name="x1-2003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</w:t>
      </w:r>
      <w:r>
        <w:t xml:space="preserve"> </w:t>
      </w:r>
      <w:r>
        <w:t xml:space="preserve">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23" w:name="x1-2004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25" w:name="x1-2005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Uncertainty for the selector audit uses 1,000 crossed-cluster bootstrap replicates. Fault mechanism and fitted model-pair</w:t>
      </w:r>
      <w:r>
        <w:t xml:space="preserve"> </w:t>
      </w:r>
      <w:r>
        <w:t xml:space="preserve">seed are independently sampled with replacement; the same sampled set of 10 seed identities is retained across every sampled</w:t>
      </w:r>
      <w:r>
        <w:t xml:space="preserve"> </w:t>
      </w:r>
      <w:r>
        <w:t xml:space="preserve">mechanism, after which strict observations are resampled within each fault-by-seed cell. Retaining the seed draw across faults</w:t>
      </w:r>
      <w:r>
        <w:t xml:space="preserve"> </w:t>
      </w:r>
      <w:r>
        <w:t xml:space="preserve">represents reuse of one fitted endpoint pair and avoids incorrectly nesting seed under mechanism. The resulting intervals</w:t>
      </w:r>
      <w:r>
        <w:t xml:space="preserve"> </w:t>
      </w:r>
      <w:r>
        <w:t xml:space="preserve">quantify variation over the four tested mechanisms, repeated fitting and observations. They do not treat 57,440 repeated</w:t>
      </w:r>
      <w:r>
        <w:t xml:space="preserve"> </w:t>
      </w:r>
      <w:r>
        <w:t xml:space="preserve">model–fault–observation predictions as independent physical events, and they do not represent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27" w:name="x1-2006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29" w:name="x1-2007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31" w:name="x1-2008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</w:t>
      </w:r>
    </w:p>
    <w:p>
      <w:pPr>
        <w:pStyle w:val="BodyText"/>
      </w:pPr>
      <w:bookmarkStart w:id="33" w:name="x1-2009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35" w:name="x1-2010r12"/>
      <w:bookmarkEnd w:id="3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6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3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37" w:name="x1-2011r13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 PDRF 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disagreement oracle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</w:t>
      </w:r>
      <w:r>
        <w:t xml:space="preserve"> </w:t>
      </w:r>
      <w:r>
        <w:t xml:space="preserve">data loading. The runtime is an Intel Core i5-13500H with PyTorch 2.12.1+cpu and 12 intra-op and inter-op</w:t>
      </w:r>
      <w:r>
        <w:t xml:space="preserve"> </w:t>
      </w:r>
      <w:r>
        <w:t xml:space="preserve">threads.</w:t>
      </w:r>
    </w:p>
    <w:p>
      <w:pPr>
        <w:pStyle w:val="BodyText"/>
      </w:pPr>
      <w:bookmarkStart w:id="39" w:name="x1-2012r14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SR-PDRF-Safe-CF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41" w:name="x1-2013r15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43"/>
    <w:bookmarkStart w:id="53" w:name="faultsubset-batch-and-class-result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44" w:name="x1-30003"/>
      <w:bookmarkEnd w:id="44"/>
      <w:r>
        <w:t xml:space="preserve">Fault-subset, batch and class results</w:t>
      </w:r>
    </w:p>
    <w:p>
      <w:pPr>
        <w:pStyle w:val="FirstParagraph"/>
      </w:pPr>
      <w:bookmarkStart w:id="45" w:name="x1-3001r16"/>
      <w:bookmarkEnd w:id="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6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47" w:name="x1-3002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49" w:name="x1-3003r18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51" w:name="x1-3004r19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53"/>
    <w:bookmarkStart w:id="57" w:name="diagnosticquality-control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54" w:name="x1-40004"/>
      <w:bookmarkEnd w:id="54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55" w:name="x1-4001r20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57"/>
    <w:bookmarkStart w:id="63" w:name="sensor-grouping-and-unseen-group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58" w:name="x1-50005"/>
      <w:bookmarkEnd w:id="58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59" w:name="x1-5001r21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61" w:name="x1-5002r22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63"/>
    <w:bookmarkStart w:id="65" w:name="fault-prevalence-severity-and-locat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64" w:name="x1-60006"/>
      <w:bookmarkEnd w:id="64"/>
      <w:r>
        <w:t xml:space="preserve">Fault prevalence, severity and location</w:t>
      </w:r>
    </w:p>
    <w:p>
      <w:pPr>
        <w:pStyle w:val="FirstParagraph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65"/>
    <w:bookmarkStart w:id="67" w:name="score-semantics-and-directional-audit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66" w:name="x1-70007"/>
      <w:bookmarkEnd w:id="66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67"/>
    <w:bookmarkStart w:id="71" w:name="hyperparameter-sensitivity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68" w:name="x1-80008"/>
      <w:bookmarkEnd w:id="68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69" w:name="x1-8001r23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71"/>
    <w:bookmarkStart w:id="81" w:name="independent-hydraulic-validation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72" w:name="x1-90009"/>
      <w:bookmarkEnd w:id="72"/>
      <w:r>
        <w:t xml:space="preserve">Independent hydraulic validation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73" w:name="x1-9001r24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74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  <w:tc>
          <w:tcPr/>
          <w:bookmarkStart w:id="75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76" w:name="x1-9002r25"/>
      <w:bookmarkEnd w:id="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77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77"/>
          <w:p>
            <w:pPr>
              <w:spacing w:before="0" w:after="0" w:line="240" w:lineRule="auto"/>
            </w:pPr>
          </w:p>
        </w:tc>
        <w:tc>
          <w:tcPr/>
          <w:bookmarkStart w:id="78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79" w:name="x1-9003r26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81"/>
    <w:bookmarkStart w:id="87" w:name="X3240f72ee276063f78f9afd20dcf4d765385ecc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82" w:name="x1-1000010"/>
      <w:bookmarkEnd w:id="82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83" w:name="x1-10001r27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85" w:name="x1-10002r28"/>
      <w:bookmarkEnd w:id="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87"/>
    <w:bookmarkStart w:id="113" w:name="X6b65fda40896cada606db5cb1e8c8664f32fcb6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88" w:name="x1-1100011"/>
      <w:bookmarkEnd w:id="88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89" w:name="x1-11001r29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91" w:name="x1-11002r30"/>
      <w:bookmarkEnd w:id="9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2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9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93" w:name="x1-11003r31"/>
      <w:bookmarkEnd w:id="9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4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9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95" w:name="x1-11004r32"/>
      <w:bookmarkEnd w:id="9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6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9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97" w:name="x1-11005r33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03" w:name="x1-11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99" w:name="Xeda6489b52b42db5bc1a8aba4771283f9f596c4"/>
            <w:bookmarkEnd w:id="99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03"/>
    <w:bookmarkStart w:id="108" w:name="x1-11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04" w:name="X14e9becebe1e677a195bca01e31fbab25d08cb6"/>
            <w:bookmarkEnd w:id="10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08"/>
    <w:p>
      <w:pPr>
        <w:pStyle w:val="BodyText"/>
      </w:pPr>
      <w:bookmarkStart w:id="109" w:name="x1-11008r34"/>
      <w:bookmarkEnd w:id="10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0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1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11" w:name="x1-11009r35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13"/>
    <w:bookmarkStart w:id="128" w:name="Xf4120212549880c6f761f813d869c8dde8a7d2b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14" w:name="x1-1200012"/>
      <w:bookmarkEnd w:id="114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15" w:name="x1-12001r36"/>
      <w:bookmarkEnd w:id="1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6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17" w:name="x1-12002r37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8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19" w:name="x1-12003r38"/>
      <w:bookmarkEnd w:id="11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0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21" w:name="x1-12004r39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2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27" w:name="x1-12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23" w:name="Xec95cabfc16f09e0d1455d0476b40c9251da864"/>
            <w:bookmarkEnd w:id="12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27"/>
    <w:bookmarkEnd w:id="128"/>
    <w:bookmarkStart w:id="132" w:name="scoregeometry-sensitivity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29" w:name="x1-1300013"/>
      <w:bookmarkEnd w:id="129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30" w:name="x1-13001r40"/>
      <w:bookmarkEnd w:id="13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32"/>
    <w:bookmarkStart w:id="136" w:name="hydraulic-nointerpolation-audit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33" w:name="x1-1400014"/>
      <w:bookmarkEnd w:id="133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34" w:name="x1-14001r41"/>
      <w:bookmarkEnd w:id="13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5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3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36"/>
    <w:bookmarkStart w:id="168" w:name="X59bb53cc35df152918cf6b61790914aeba30b63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37" w:name="x1-1500015"/>
      <w:bookmarkEnd w:id="137"/>
      <w:r>
        <w:t xml:space="preserve">Real-operational AHU sensor-fault validation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S42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38" w:name="x1-15001r42"/>
      <w:bookmarkEnd w:id="1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9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40" w:name="x1-15002r43"/>
      <w:bookmarkEnd w:id="14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1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4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42" w:name="x1-15003r44"/>
      <w:bookmarkEnd w:id="1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3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44" w:name="x1-15004r45"/>
      <w:bookmarkEnd w:id="14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5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4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S43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46" w:name="x1-15005r46"/>
      <w:bookmarkEnd w:id="14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7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4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S47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48" w:name="x1-15006r47"/>
      <w:bookmarkEnd w:id="14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9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4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50" w:name="x1-15007r48"/>
      <w:bookmarkEnd w:id="15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1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5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156" w:name="x1-15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52" w:name="X6b33f746004aa39f530f86014b516ffaa230d04"/>
            <w:bookmarkEnd w:id="15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156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S49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157" w:name="x1-15009r49"/>
      <w:bookmarkEnd w:id="1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8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1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159" w:name="x1-15010r50"/>
      <w:bookmarkEnd w:id="1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161" w:name="x1-15011r51"/>
      <w:bookmarkEnd w:id="1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167" w:name="x1-15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63" w:name="X66795803584d3a9da60120d1a82c36daaeed758"/>
            <w:bookmarkEnd w:id="16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167"/>
    <w:bookmarkEnd w:id="168"/>
    <w:bookmarkStart w:id="192" w:name="X9f66ad2798df63c232dca56e578c408d5517577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69" w:name="x1-1600016"/>
      <w:bookmarkEnd w:id="169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S52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170" w:name="x1-16001r52"/>
      <w:bookmarkEnd w:id="17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1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17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172" w:name="x1-16002r53"/>
      <w:bookmarkEnd w:id="17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3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17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174" w:name="x1-16003r54"/>
      <w:bookmarkEnd w:id="1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5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1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176" w:name="x1-16004r55"/>
      <w:bookmarkEnd w:id="1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178" w:name="x1-16005r56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184" w:name="x1-16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80" w:name="X3a1f417d54c90f38d88e70cf1beb43c8ca90cca"/>
            <w:bookmarkEnd w:id="18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184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185" w:name="x1-16007r57"/>
      <w:bookmarkEnd w:id="1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6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1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191" w:name="x1-16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87" w:name="X0e69bb857b8943688307804e0b13295031a8581"/>
            <w:bookmarkEnd w:id="18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191"/>
    <w:bookmarkEnd w:id="192"/>
    <w:bookmarkStart w:id="204" w:name="Xda201bf6672fdf04fcf8c5c079ab95e6263b622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93" w:name="x1-1700017"/>
      <w:bookmarkEnd w:id="193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194" w:name="x1-17001r58"/>
      <w:bookmarkEnd w:id="19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5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19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196" w:name="x1-17002r59"/>
      <w:bookmarkEnd w:id="19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7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9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198" w:name="x1-17003r60"/>
      <w:bookmarkEnd w:id="19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9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19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00" w:name="x1-17004r61"/>
      <w:bookmarkEnd w:id="20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1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0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02" w:name="x1-17005r62"/>
      <w:bookmarkEnd w:id="20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3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04"/>
    <w:bookmarkStart w:id="212" w:name="X4c44e3559c3e75cf6bad14b46e1ec69ad17387c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05" w:name="x1-1800018"/>
      <w:bookmarkEnd w:id="205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06" w:name="x1-18001r63"/>
      <w:bookmarkEnd w:id="20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7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0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08" w:name="x1-18002r64"/>
      <w:bookmarkEnd w:id="20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9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0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10" w:name="x1-18003r65"/>
      <w:bookmarkEnd w:id="21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1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1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Nearest-training-cycle audit in standardized 240-dimensional hydraulic feature space.</w:t>
      </w:r>
    </w:p>
    <w:bookmarkEnd w:id="212"/>
    <w:bookmarkStart w:id="230" w:name="X2422d8abbca0b24ed49df6949ead35d55d7fbf5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13" w:name="x1-1900019"/>
      <w:bookmarkEnd w:id="213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14" w:name="x1-19001r66"/>
      <w:bookmarkEnd w:id="21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5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1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Chemical fixed-ensemble probability quality under probability and logit averaging.</w:t>
      </w:r>
    </w:p>
    <w:bookmarkStart w:id="220" w:name="x1-19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16" w:name="Xb4fbd86cfb18846f699e38b3225243d2fb9c3d5"/>
            <w:bookmarkEnd w:id="21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20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21" w:name="x1-19003r67"/>
      <w:bookmarkEnd w:id="2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2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23" w:name="x1-19004r68"/>
      <w:bookmarkEnd w:id="2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4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29" w:name="x1-19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25" w:name="X228bb6e5c92f229a2a3cbe4b635ea8ac16bc1ed"/>
            <w:bookmarkEnd w:id="22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29"/>
    <w:bookmarkEnd w:id="230"/>
    <w:bookmarkStart w:id="258" w:name="archived-originalprotocol-analyses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31" w:name="x1-2000020"/>
      <w:bookmarkEnd w:id="231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32" w:name="x1-20001r69"/>
      <w:bookmarkEnd w:id="23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3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3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34" w:name="x1-20002r70"/>
      <w:bookmarkEnd w:id="23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5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3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36" w:name="x1-20003r71"/>
      <w:bookmarkEnd w:id="23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7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3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42" w:name="x1-20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38" w:name="X940203e12ada9d4be95ebff6f4c623a4797bed2"/>
            <w:bookmarkEnd w:id="23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42"/>
    <w:bookmarkStart w:id="247" w:name="x1-20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43" w:name="X9178c56c7d5bfdc1aafdecdd469785d4d62ae00"/>
            <w:bookmarkEnd w:id="24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47"/>
    <w:bookmarkStart w:id="252" w:name="x1-20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48" w:name="X1141f10bc0af46dfd5b303139eabc0871fa0a5e"/>
            <w:bookmarkEnd w:id="24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52"/>
    <w:bookmarkStart w:id="257" w:name="x1-20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53" w:name="X1dc45eca63888e8e1d43316cfd64bf72fda671c"/>
            <w:bookmarkEnd w:id="25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257"/>
    <w:bookmarkEnd w:id="258"/>
    <w:bookmarkStart w:id="263" w:name="external-publicdata-feasibility-audit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59" w:name="x1-2100021"/>
      <w:bookmarkEnd w:id="259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260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261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262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263"/>
    <w:bookmarkStart w:id="265" w:name="reproducibility-and-scope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64" w:name="x1-2200022"/>
      <w:bookmarkEnd w:id="264"/>
      <w:r>
        <w:t xml:space="preserve">Reproducibility and scope</w:t>
      </w:r>
    </w:p>
    <w:p>
      <w:pPr>
        <w:pStyle w:val="FirstParagraph"/>
      </w:pPr>
      <w:r>
        <w:t xml:space="preserve">The supplied Python scripts reproduce data processing, model fitting, targeted extensions, statistical analysis, tables and</w:t>
      </w:r>
      <w:r>
        <w:t xml:space="preserve"> </w:t>
      </w:r>
      <w:r>
        <w:t xml:space="preserve">figures. The upgrade-specific entry points are</w:t>
      </w:r>
      <w:r>
        <w:t xml:space="preserve"> </w:t>
      </w:r>
      <w:r>
        <w:t xml:space="preserve">analyse_major9_estimand.py</w:t>
      </w:r>
      <w:r>
        <w:t xml:space="preserve">,</w:t>
      </w:r>
      <w:r>
        <w:t xml:space="preserve"> </w:t>
      </w:r>
      <w:r>
        <w:t xml:space="preserve">run_major9_safe_recovery.py</w:t>
      </w:r>
      <w:r>
        <w:t xml:space="preserve">,</w:t>
      </w:r>
      <w:r>
        <w:t xml:space="preserve"> </w:t>
      </w:r>
      <w:r>
        <w:t xml:space="preserve">run_major9_modern_baseline.py</w:t>
      </w:r>
      <w:r>
        <w:t xml:space="preserve">,</w:t>
      </w:r>
      <w:r>
        <w:t xml:space="preserve"> </w:t>
      </w:r>
      <w:r>
        <w:t xml:space="preserve">analyse_major9_upgrade.py</w:t>
      </w:r>
      <w:r>
        <w:t xml:space="preserve"> </w:t>
      </w:r>
      <w:r>
        <w:t xml:space="preserve">and</w:t>
      </w:r>
      <w:r>
        <w:t xml:space="preserve"> </w:t>
      </w:r>
      <w:r>
        <w:t xml:space="preserve">make_major9_figure.py</w:t>
      </w:r>
      <w:r>
        <w:t xml:space="preserve">. The frozen design is</w:t>
      </w:r>
      <w:r>
        <w:t xml:space="preserve"> </w:t>
      </w:r>
      <w:r>
        <w:t xml:space="preserve">stored in</w:t>
      </w:r>
      <w:r>
        <w:t xml:space="preserve"> </w:t>
      </w:r>
      <w:r>
        <w:t xml:space="preserve">source_data/major9_frozen_protocol.json</w:t>
      </w:r>
      <w:r>
        <w:t xml:space="preserve">; prediction-level outputs, selector thresholds, safety accounting,</w:t>
      </w:r>
      <w:r>
        <w:t xml:space="preserve"> </w:t>
      </w:r>
      <w:r>
        <w:t xml:space="preserve">model costs and bootstrap summaries are stored under</w:t>
      </w:r>
      <w:r>
        <w:t xml:space="preserve"> </w:t>
      </w:r>
      <w:r>
        <w:t xml:space="preserve">source_data/major9_*</w:t>
      </w:r>
      <w:r>
        <w:t xml:space="preserve">. Figures use Python/matplotlib</w:t>
      </w:r>
      <w:r>
        <w:t xml:space="preserve"> </w:t>
      </w:r>
      <w:r>
        <w:t xml:space="preserve">exclusively. Editable SVG/PDF figures and a 600-dpi TIFF are included in the manuscript package. Script names and</w:t>
      </w:r>
      <w:r>
        <w:t xml:space="preserve"> </w:t>
      </w:r>
      <w:r>
        <w:t xml:space="preserve">execution order are listed in the package README.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therefore supports field-operational fault recognition but not hardware-failure prognosis or</w:t>
      </w:r>
      <w:r>
        <w:t xml:space="preserve"> </w:t>
      </w:r>
      <w:r>
        <w:t xml:space="preserve">zero-shot building transfer.</w:t>
      </w:r>
    </w:p>
    <w:bookmarkEnd w:id="265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4" Type="http://schemas.openxmlformats.org/officeDocument/2006/relationships/image" Target="media/rId244.png"/><Relationship Id="rId239" Type="http://schemas.openxmlformats.org/officeDocument/2006/relationships/image" Target="media/rId239.png"/><Relationship Id="rId249" Type="http://schemas.openxmlformats.org/officeDocument/2006/relationships/image" Target="media/rId249.png"/><Relationship Id="rId254" Type="http://schemas.openxmlformats.org/officeDocument/2006/relationships/image" Target="media/rId254.png"/><Relationship Id="rId153" Type="http://schemas.openxmlformats.org/officeDocument/2006/relationships/image" Target="media/rId153.png"/><Relationship Id="rId164" Type="http://schemas.openxmlformats.org/officeDocument/2006/relationships/image" Target="media/rId164.png"/><Relationship Id="rId181" Type="http://schemas.openxmlformats.org/officeDocument/2006/relationships/image" Target="media/rId181.png"/><Relationship Id="rId188" Type="http://schemas.openxmlformats.org/officeDocument/2006/relationships/image" Target="media/rId188.png"/><Relationship Id="rId217" Type="http://schemas.openxmlformats.org/officeDocument/2006/relationships/image" Target="media/rId217.png"/><Relationship Id="rId226" Type="http://schemas.openxmlformats.org/officeDocument/2006/relationships/image" Target="media/rId226.png"/><Relationship Id="rId105" Type="http://schemas.openxmlformats.org/officeDocument/2006/relationships/image" Target="media/rId105.png"/><Relationship Id="rId124" Type="http://schemas.openxmlformats.org/officeDocument/2006/relationships/image" Target="media/rId124.png"/><Relationship Id="rId100" Type="http://schemas.openxmlformats.org/officeDocument/2006/relationships/image" Target="media/rId100.png"/><Relationship Id="rId260" Type="http://schemas.openxmlformats.org/officeDocument/2006/relationships/hyperlink" Target="https://data.nasa.gov/dataset/modeling-detection-and-disambiguation-of-sensor-faults-for-aerospace-applications" TargetMode="External"/><Relationship Id="rId261" Type="http://schemas.openxmlformats.org/officeDocument/2006/relationships/hyperlink" Target="https://doi.org/10.5281/zenodo.8195068" TargetMode="External"/><Relationship Id="rId262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260" Type="http://schemas.openxmlformats.org/officeDocument/2006/relationships/hyperlink" Target="https://data.nasa.gov/dataset/modeling-detection-and-disambiguation-of-sensor-faults-for-aerospace-applications" TargetMode="External"/><Relationship Id="rId261" Type="http://schemas.openxmlformats.org/officeDocument/2006/relationships/hyperlink" Target="https://doi.org/10.5281/zenodo.8195068" TargetMode="External"/><Relationship Id="rId262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creator>Riyang Luo</dc:creator>
  <dc:language>en-US</dc:language>
  <cp:keywords/>
  <dcterms:created xsi:type="dcterms:W3CDTF">2026-07-14T04:57:06Z</dcterms:created>
  <dcterms:modified xsi:type="dcterms:W3CDTF">2026-07-14T04:57:06Z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