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>Supplementary information</w:t>
        <w:br/>
        <w:t>Support-gated selective recovery under controlled multi-sensor corruption</w:t>
      </w:r>
    </w:p>
    <w:bookmarkStart w:id="9" w:name="X67a9fe91df20a6b4017e16561adfab56dcf89b5"/>
    <w:p>
      <w:pPr>
        <w:pStyle w:val="FirstParagraph"/>
        <w:jc w:val="center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45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one selected</w:t>
      </w:r>
      <w:r>
        <w:t xml:space="preserve"> </w:t>
      </w:r>
      <w:r>
        <w:t xml:space="preserve">endpoint vector rather than a probability mixture,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 Its feature scaler is refitted on the</w:t>
      </w:r>
      <w:r>
        <w:t xml:space="preserve"> </w:t>
      </w:r>
      <w:r>
        <w:t xml:space="preserve">informative training rows inside every cross-fitting fold and then refitted on all informative calibration rows for the final</w:t>
      </w:r>
      <w:r>
        <w:t xml:space="preserve"> </w:t>
      </w:r>
      <w:r>
        <w:t xml:space="preserve">model.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q1_lite_probability_by_seed.csv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Prevalence/cost utility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q1_lite_prevalence_pass_utility.csv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q1_lite_utility_sensitivity_summary.csv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Direct CPU timing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q1_lite_cpu_latency.csv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q1_lite_cpu_latency_summary.csv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Fixed-thread timing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strict88_cpu_thread_sensitivity.csv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strict88_cpu_thread_summary.csv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Mild severity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strict88_mild_scale1_metrics.csv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strict88_mild_scale1_safety.csv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Deployment support 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strict88_deployment_support.csv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strict88_support_gated_policy.csv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Opportunity</w:t>
                  </w:r>
                  <w:r>
                    <w:t xml:space="preserve"> </w:t>
                  </w:r>
                  <w:r>
                    <w:t xml:space="preserve">counts/dispersion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strict88_opportunity_counts_by_mechanism.csv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strict88_endpoint_seed_dispersion.csv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r>
        <w:t xml:space="preserve">The deployment-support gate was proposed after the frozen experiment in response to review and was applied</w:t>
      </w:r>
      <w:r>
        <w:t xml:space="preserve"> </w:t>
      </w:r>
      <w:r>
        <w:t xml:space="preserve">retrospectively to the 10 frozen endpoint pairs. It was not used to select or replace the ungated headline result. Under the</w:t>
      </w:r>
      <w:r>
        <w:t xml:space="preserve"> </w:t>
      </w:r>
      <w:r>
        <w:t xml:space="preserve">conservative reference configuration, a fitted pair is operationally supported only if its calibration data contain at least 25</w:t>
      </w:r>
      <w:r>
        <w:t xml:space="preserve"> </w:t>
      </w:r>
      <w:r>
        <w:t xml:space="preserve">base-better and 25 recovery-better events, every grouped fitting fold contains both preference classes, the median out-of-fold</w:t>
      </w:r>
      <w:r>
        <w:t xml:space="preserve"> </w:t>
      </w:r>
      <w:r>
        <w:t xml:space="preserve">AUROC across 10 repeated grouped splits is at least 0.65, no repeated AUROC is below 0.60 and the repeated threshold</w:t>
      </w:r>
      <w:r>
        <w:t xml:space="preserve"> </w:t>
      </w:r>
      <w:r>
        <w:t xml:space="preserve">range is at most 0.10. All conditions must pass. The intended prospective rule is that a site failing the gate emits PDRF and</w:t>
      </w:r>
      <w:r>
        <w:t xml:space="preserve"> </w:t>
      </w:r>
      <w:r>
        <w:t xml:space="preserve">continues collecting calibration evidence; coefficients and thresholds are not transported from another pair or</w:t>
      </w:r>
      <w:r>
        <w:t xml:space="preserve"> </w:t>
      </w:r>
      <w:r>
        <w:t xml:space="preserve">site.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Base-better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Recovery-better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Threshold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Supported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0.675–0.700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0.725–0.800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0.550–0.575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Post hoc proposed deployment-support gate applied retrospectively to the 10 frozen endpoint pairs.</w:t>
      </w:r>
      <w:r>
        <w:t xml:space="preserve"> </w:t>
      </w:r>
      <w:r>
        <w:t xml:space="preserve">Event counts use informative Batch 7 calibration rows. AUROC and threshold summaries use 10 repeated grouped</w:t>
      </w:r>
      <w:r>
        <w:t xml:space="preserve"> </w:t>
      </w:r>
      <w:r>
        <w:t xml:space="preserve">cross-fitting splits. The gate is an intended prospective operational boundary, not a prespecified test or replacement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Only five of the 10 fitted pairs passed every support condition. Enforcing the fallback rule retrospectively reduced</w:t>
      </w:r>
      <w:r>
        <w:t xml:space="preserve"> </w:t>
      </w:r>
      <w:r>
        <w:t xml:space="preserve">recovery endpoint selection and correction retention while increasing prevention (Table </w:t>
      </w:r>
      <w:hyperlink w:anchor="Xfdaa7b00b6430d619683d2fbca377c5e7d34f1a">
        <w:r>
          <w:rPr>
            <w:rStyle w:val="Hyperlink"/>
          </w:rPr>
          <w:t xml:space="preserve">S7</w:t>
        </w:r>
      </w:hyperlink>
      <w:r>
        <w:t xml:space="preserve">). This result is descriptive because</w:t>
      </w:r>
      <w:r>
        <w:t xml:space="preserve"> </w:t>
      </w:r>
      <w:r>
        <w:t xml:space="preserve">the gate was not fixed before the frozen test evaluation.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Support-gated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Descriptive consequence of applying the post hoc support gate retrospectively to the frozen strict test set.</w:t>
      </w:r>
      <w:r>
        <w:t xml:space="preserve"> </w:t>
      </w:r>
      <w:r>
        <w:t xml:space="preserve">Unsupported endpoint pairs emit PDRF on every observation; supported pairs retain their previously frozen Lite-CF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The reference values 25/0.65/0.10 are not treated as uniquely correct. We crossed minimum event counts 15, 25 and 40,</w:t>
      </w:r>
      <w:r>
        <w:t xml:space="preserve"> </w:t>
      </w:r>
      <w:r>
        <w:t xml:space="preserve">median repeated AUROC thresholds 0.60, 0.65 and 0.70, and maximum threshold ranges 0.05, 0.10 and 0.15.</w:t>
      </w:r>
      <w:r>
        <w:t xml:space="preserve"> </w:t>
      </w:r>
      <w:r>
        <w:t xml:space="preserve">The requirement that every fitting fold contain both preference classes and the minimum repeat AUROC</w:t>
      </w:r>
      <w:r>
        <w:t xml:space="preserve"> </w:t>
      </w:r>
      <w:r>
        <w:t xml:space="preserve">of 0.60 remained fixed. Across the 27 configurations, 1–7 fitted pairs passed, prevention ranged from 95.2%</w:t>
      </w:r>
      <w:r>
        <w:t xml:space="preserve"> </w:t>
      </w:r>
      <w:r>
        <w:t xml:space="preserve">to 97.9%, retention from 1.4% to 8.6%, equal-cost utility from +0</w:t>
      </w:r>
      <w:r>
        <w:t xml:space="preserve">.</w:t>
      </w:r>
      <w:r>
        <w:t xml:space="preserve">35 to +13</w:t>
      </w:r>
      <w:r>
        <w:t xml:space="preserve">.</w:t>
      </w:r>
      <w:r>
        <w:t xml:space="preserve">75 per 10,000 and fitted-pair</w:t>
      </w:r>
      <w:r>
        <w:t xml:space="preserve"> </w:t>
      </w:r>
      <w:r>
        <w:t xml:space="preserve">worst-batch utility from</w:t>
      </w:r>
      <w:r>
        <w:t xml:space="preserve"> </w:t>
      </w:r>
      <w:r>
        <w:t xml:space="preserve">−</w:t>
      </w:r>
      <w:r>
        <w:t xml:space="preserve">3</w:t>
      </w:r>
      <w:r>
        <w:t xml:space="preserve">.</w:t>
      </w:r>
      <w:r>
        <w:t xml:space="preserve">17 to +0</w:t>
      </w:r>
      <w:r>
        <w:t xml:space="preserve">.</w:t>
      </w:r>
      <w:r>
        <w:t xml:space="preserve">43. Several settings produced identical decisions because they admitted the</w:t>
      </w:r>
      <w:r>
        <w:t xml:space="preserve"> </w:t>
      </w:r>
      <w:r>
        <w:t xml:space="preserve">same fitted pairs or added a pair whose frozen selector changed selection without changing correction or harm</w:t>
      </w:r>
      <w:r>
        <w:t xml:space="preserve"> </w:t>
      </w:r>
      <w:r>
        <w:t xml:space="preserve">counts.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Min. events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AUROC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Max. Δ</w:t>
                  </w:r>
                  <w:r>
                    <w:t xml:space="preserve">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Passed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</w:t>
                  </w:r>
                  <w:r>
                    <w:rPr>
                      <w:vertAlign w:val="subscript"/>
                    </w:rPr>
                    <w:t xml:space="preserve">1</w:t>
                  </w:r>
                  <w:r>
                    <w:t xml:space="preserve">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Worst-batch</w:t>
                  </w:r>
                  <w:r>
                    <w:t xml:space="preserve"> </w:t>
                  </w:r>
                  <w:r>
                    <w:t xml:space="preserve">U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1</w:t>
                  </w:r>
                  <w:r>
                    <w:t xml:space="preserve">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+13.75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+0.43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+13.75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+0.43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+13.75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+0.43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Complete 3</w:t>
      </w:r>
      <w:r>
        <w:t xml:space="preserve"> </w:t>
      </w:r>
      <w:r>
        <w:t xml:space="preserve">×</w:t>
      </w:r>
      <w:r>
        <w:t xml:space="preserve"> </w:t>
      </w:r>
      <w:r>
        <w:t xml:space="preserve">3</w:t>
      </w:r>
      <w:r>
        <w:t xml:space="preserve"> </w:t>
      </w:r>
      <w:r>
        <w:t xml:space="preserve">×</w:t>
      </w:r>
      <w:r>
        <w:t xml:space="preserve"> </w:t>
      </w:r>
      <w:r>
        <w:t xml:space="preserve">3 sensitivity grid for the post hoc deployment-support gate.</w:t>
      </w:r>
      <w:r>
        <w:t xml:space="preserve"> </w:t>
      </w:r>
      <w:r>
        <w:t xml:space="preserve">U</w:t>
      </w:r>
      <w:r>
        <w:rPr>
          <w:vertAlign w:val="subscript"/>
        </w:rPr>
        <w:t xml:space="preserve">1</w:t>
      </w:r>
      <w:r>
        <w:t xml:space="preserve"> </w:t>
      </w:r>
      <w:r>
        <w:t xml:space="preserve">assigns equal value to a</w:t>
      </w:r>
      <w:r>
        <w:t xml:space="preserve"> </w:t>
      </w:r>
      <w:r>
        <w:t xml:space="preserve">correction and a harm with no compute penalty. Worst-batch utility first takes the least favourable acquisition-batch</w:t>
      </w:r>
      <w:r>
        <w:t xml:space="preserve"> </w:t>
      </w:r>
      <w:r>
        <w:t xml:space="preserve">mean within each fitted pair and then averages the 10 fitted-pair values. The bold count marks the conservative</w:t>
      </w:r>
      <w:r>
        <w:t xml:space="preserve"> </w:t>
      </w:r>
      <w:r>
        <w:t xml:space="preserve">reference configuration.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2.677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0.042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Seed-level dispersion of strict-subset routed-output metrics. Each fitted-pair value first averages the four</w:t>
      </w:r>
      <w:r>
        <w:t xml:space="preserve"> </w:t>
      </w:r>
      <w:r>
        <w:t xml:space="preserve">fixed mechanisms; entries are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10 fitted endpoint pairs. They quantify fitting variation</w:t>
      </w:r>
      <w:r>
        <w:t xml:space="preserve"> </w:t>
      </w:r>
      <w:r>
        <w:t xml:space="preserve">on the present test observations, not independent devices.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the arithmetic mean of the 100 individual</w:t>
      </w:r>
      <w:r>
        <w:t xml:space="preserve"> </w:t>
      </w:r>
      <w:r>
        <w:t xml:space="preserve">seed–repeat AUROCs (the mean-of-repeats AUROC) was 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It is distinct from</w:t>
      </w:r>
      <w:r>
        <w:t xml:space="preserve"> </w:t>
      </w:r>
      <w:r>
        <w:t xml:space="preserve">the pooled-row AUROC of 0.562 obtained by concatenating the formal out-of-fold scores over informative</w:t>
      </w:r>
      <w:r>
        <w:t xml:space="preserve"> </w:t>
      </w:r>
      <w:r>
        <w:t xml:space="preserve">calibration rows. Repeated thresholds ranged from 0.525 to 0.90. The mean primary-objective tie count was</w:t>
      </w:r>
      <w:r>
        <w:t xml:space="preserve"> </w:t>
      </w:r>
      <w:r>
        <w:t xml:space="preserve">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35" w:name="x1-2008r12"/>
      <w:bookmarkEnd w:id="3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6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3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Lite-CF standardized coefficient and sign stability over 500 fold fits. Dominant sign is the larger of</w:t>
      </w:r>
      <w:r>
        <w:t xml:space="preserve"> </w:t>
      </w:r>
      <w:r>
        <w:t xml:space="preserve">positive- and negative-sign frequency; it is not a causal importance measure.</w:t>
      </w:r>
    </w:p>
    <w:p>
      <w:pPr>
        <w:pStyle w:val="BodyText"/>
      </w:pPr>
      <w:bookmarkStart w:id="37" w:name="x1-2009r13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Lite-CF regularization path. Values average five grouped repeats for each of 10 endpoint pairs. The</w:t>
      </w:r>
      <w:r>
        <w:t xml:space="preserve"> </w:t>
      </w:r>
      <w:r>
        <w:t xml:space="preserve">original router setting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was selected before the post hoc support gate was proposed; it is a strong-shrinkage</w:t>
      </w:r>
      <w:r>
        <w:t xml:space="preserve"> </w:t>
      </w:r>
      <w:r>
        <w:t xml:space="preserve">choice rather than the calibration-discrimination optimum.</w:t>
      </w:r>
    </w:p>
    <w:p>
      <w:pPr>
        <w:pStyle w:val="BodyText"/>
      </w:pPr>
      <w:bookmarkStart w:id="39" w:name="x1-2010r14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41" w:name="x1-2011r15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 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observations, 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retained corrections 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the number of realized harms. Harm-to-correction ratios are 1, 2, 5 and 10; pass penalties are 0,</w:t>
      </w:r>
      <w:r>
        <w:t xml:space="preserve"> </w:t>
      </w:r>
      <w:r>
        <w:t xml:space="preserve">0.5 and 2 correction equivalents per 10,000. The complete source file preserves seed- and mechanism-level values. Energy was</w:t>
      </w:r>
      <w:r>
        <w:t xml:space="preserve"> </w:t>
      </w:r>
      <w:r>
        <w:t xml:space="preserve">not measured. Consequently, neither the pass penalty nor counted FLOPs are presented as electrical-energy</w:t>
      </w:r>
      <w:r>
        <w:t xml:space="preserve"> </w:t>
      </w:r>
      <w:r>
        <w:t xml:space="preserve">estimates.</w:t>
      </w:r>
    </w:p>
    <w:p>
      <w:pPr>
        <w:pStyle w:val="BodyText"/>
      </w:pPr>
      <w:bookmarkStart w:id="43" w:name="x1-2012r16"/>
      <w:bookmarkEnd w:id="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4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Learned routing and compute controls moved from the main article. Full-endpoint rows route between</w:t>
      </w:r>
      <w:r>
        <w:t xml:space="preserve"> </w:t>
      </w:r>
      <w:r>
        <w:t xml:space="preserve">PDRF and RO-PDRF-Full; Lite-CF routes between PDRF and RO-PDRF-Lite. Prevention and retention are</w:t>
      </w:r>
      <w:r>
        <w:t xml:space="preserve"> </w:t>
      </w:r>
      <w:r>
        <w:t xml:space="preserve">hard-decision outcomes, whereas AUROC and NLL evaluate the emitted probability vector.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45"/>
    <w:bookmarkStart w:id="49" w:name="X893f876e4439ba441b8b4c6758992b117fd60a9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46" w:name="x1-30003"/>
      <w:bookmarkEnd w:id="46"/>
      <w:r>
        <w:t xml:space="preserve">Major-review all-row, utility and transport audits</w:t>
      </w:r>
    </w:p>
    <w:p>
      <w:pPr>
        <w:pStyle w:val="FirstParagraph"/>
      </w:pPr>
      <w:r>
        <w:t xml:space="preserve">The new major-review analyses reuse the frozen PDRF/RO-PDRF-Lite predictions whenever possible. The scale/group</w:t>
      </w:r>
      <w:r>
        <w:t xml:space="preserve"> </w:t>
      </w:r>
      <w:r>
        <w:t xml:space="preserve">transport script independently refits the same ten endpoint pairs only to generate missing prediction-level files.</w:t>
      </w:r>
      <w:r>
        <w:t xml:space="preserve"> </w:t>
      </w:r>
      <w:r>
        <w:t xml:space="preserve">Its formal scale-3/group-1 output contains the same 57,440 strict rows as the frozen run. Endpoint argmax</w:t>
      </w:r>
      <w:r>
        <w:t xml:space="preserve"> </w:t>
      </w:r>
      <w:r>
        <w:t xml:space="preserve">predictions agree for every row; the maximum absolute probability difference is 1</w:t>
      </w:r>
      <w:r>
        <w:t xml:space="preserve">.</w:t>
      </w:r>
      <w:r>
        <w:t xml:space="preserve">11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 and calibration</w:t>
      </w:r>
      <w:r>
        <w:t xml:space="preserve"> </w:t>
      </w:r>
      <w:r>
        <w:t xml:space="preserve">features and correctness labels match exactly. This numerical check is completed before transport results are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For each fitted pair, the all-row outcome is 0 for base better, 1 for endpoint-equivalent correctness and 2 for recovery</w:t>
      </w:r>
      <w:r>
        <w:t xml:space="preserve"> </w:t>
      </w:r>
      <w:r>
        <w:t xml:space="preserve">better. Calibration means are 36.1, 1,771.2 and 53.6 rows, respectively. Five-fold stratified group cross-fitting keeps all fault</w:t>
      </w:r>
      <w:r>
        <w:t xml:space="preserve"> </w:t>
      </w:r>
      <w:r>
        <w:t xml:space="preserve">realizations from an original observation together. The multinomial score is</w:t>
      </w:r>
      <w:r>
        <w:t xml:space="preserve"> </w:t>
      </w:r>
      <w:r>
        <w:t xml:space="preserve">p</w:t>
      </w:r>
      <w:r>
        <w:rPr>
          <w:vertAlign w:val="subscript"/>
        </w:rPr>
        <w:t xml:space="preserve">2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0</w:t>
      </w:r>
      <w:r>
        <w:t xml:space="preserve">. The two-stage score is</w:t>
      </w:r>
      <w:r>
        <w:t xml:space="preserve"> </w:t>
      </w:r>
      <w:r>
        <w:t xml:space="preserve">p</w:t>
      </w:r>
      <w:r>
        <w:t xml:space="preserve">(</w:t>
      </w:r>
      <w:r>
        <w:t xml:space="preserve">b≠r</w:t>
      </w:r>
      <w:r>
        <w:t xml:space="preserve">∣</w:t>
      </w:r>
      <w:r>
        <w:t xml:space="preserve">x</w:t>
      </w:r>
      <w:r>
        <w:t xml:space="preserve">)</w:t>
      </w:r>
      <w:r>
        <w:t xml:space="preserve">{</w:t>
      </w:r>
      <w:r>
        <w:t xml:space="preserve">2</w:t>
      </w:r>
      <w:r>
        <w:t xml:space="preserve">p</w:t>
      </w:r>
      <w:r>
        <w:t xml:space="preserve">(</w:t>
      </w:r>
      <w:r>
        <w:t xml:space="preserve">r</w:t>
      </w:r>
      <w:r>
        <w:t xml:space="preserve"> </w:t>
      </w:r>
      <w:r>
        <w:t xml:space="preserve">better</w:t>
      </w:r>
      <w:r>
        <w:t xml:space="preserve">∣</w:t>
      </w:r>
      <w:r>
        <w:t xml:space="preserve">b≠r,</w:t>
      </w:r>
      <w:r>
        <w:t xml:space="preserve">x</w:t>
      </w:r>
      <w:r>
        <w:t xml:space="preserve">)</w:t>
      </w:r>
      <w:r>
        <w:t xml:space="preserve"> </w:t>
      </w:r>
      <w:r>
        <w:t xml:space="preserve">−</w:t>
      </w:r>
      <w:r>
        <w:t xml:space="preserve"> </w:t>
      </w:r>
      <w:r>
        <w:t xml:space="preserve">1</w:t>
      </w:r>
      <w:r>
        <w:t xml:space="preserve">}</w:t>
      </w:r>
      <w:r>
        <w:t xml:space="preserve">. Its two factors are fitted in separate grouped pipelines. These models do not require</w:t>
      </w:r>
      <w:r>
        <w:t xml:space="preserve"> </w:t>
      </w:r>
      <w:r>
        <w:t xml:space="preserve">inverse-probability weighting because outcomes are observed on every calibration row; the issue is class sparsity, not missing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The complete Pareto audit ranks scores separately within each fixed test mechanism–fitted-pair cell at selection fractions</w:t>
      </w:r>
      <w:r>
        <w:t xml:space="preserve"> </w:t>
      </w:r>
      <w:r>
        <w:t xml:space="preserve">0, 0.025,</w:t>
      </w:r>
      <w:r>
        <w:t xml:space="preserve"> </w:t>
      </w:r>
      <w:r>
        <w:t xml:space="preserve">…</w:t>
      </w:r>
      <w:r>
        <w:t xml:space="preserve">, 1 and uses test labels to calculate prevention and retention. These are descriptive cell-stratified test ranking</w:t>
      </w:r>
      <w:r>
        <w:t xml:space="preserve"> </w:t>
      </w:r>
      <w:r>
        <w:t xml:space="preserve">curves, not deployable operating policies, and they never select a submitted threshold. Calibration-matched comparisons</w:t>
      </w:r>
      <w:r>
        <w:t xml:space="preserve"> </w:t>
      </w:r>
      <w:r>
        <w:t xml:space="preserve">instead choose scalar/tree/random thresholds using out-of-fold calibration prevention or retention and apply them once to</w:t>
      </w:r>
      <w:r>
        <w:t xml:space="preserve"> </w:t>
      </w:r>
      <w:r>
        <w:t xml:space="preserve">test. The output files distinguish the matching target from the realized test rate, because transport prevents</w:t>
      </w:r>
      <w:r>
        <w:t xml:space="preserve"> </w:t>
      </w:r>
      <w:r>
        <w:t xml:space="preserve">exact matching. The empirical dominance file checks every averaged comparator point against the frozen</w:t>
      </w:r>
      <w:r>
        <w:t xml:space="preserve"> </w:t>
      </w:r>
      <w:r>
        <w:t xml:space="preserve">operating point; no comparator has both at least 94.7% prevention and at least 9.7% retention with one strict</w:t>
      </w:r>
      <w:r>
        <w:t xml:space="preserve"> </w:t>
      </w:r>
      <w:r>
        <w:t xml:space="preserve">inequality.</w:t>
      </w:r>
    </w:p>
    <w:p>
      <w:pPr>
        <w:pStyle w:val="BodyText"/>
      </w:pPr>
      <w:r>
        <w:t xml:space="preserve">Application-specific thresholds maximize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rn</w:t>
      </w:r>
      <w:r>
        <w:rPr>
          <w:vertAlign w:val="subscript"/>
        </w:rPr>
        <w:t xml:space="preserve">H</w:t>
      </w:r>
      <w:r>
        <w:t xml:space="preserve"> </w:t>
      </w:r>
      <w:r>
        <w:t xml:space="preserve">on out-of-fold calibration predictions for</w:t>
      </w:r>
      <w:r>
        <w:t xml:space="preserve"> </w:t>
      </w:r>
      <w:r>
        <w:t xml:space="preserve">r</w:t>
      </w:r>
      <w:r>
        <w:t xml:space="preserve"> </w:t>
      </w:r>
      <w:r>
        <w:t xml:space="preserve">∈{</w:t>
      </w:r>
      <w:r>
        <w:t xml:space="preserve">1</w:t>
      </w:r>
      <w:r>
        <w:t xml:space="preserve">,</w:t>
      </w:r>
      <w:r>
        <w:t xml:space="preserve">2</w:t>
      </w:r>
      <w:r>
        <w:t xml:space="preserve">,</w:t>
      </w:r>
      <w:r>
        <w:t xml:space="preserve">5</w:t>
      </w:r>
      <w:r>
        <w:t xml:space="preserve">,</w:t>
      </w:r>
      <w:r>
        <w:t xml:space="preserve">10</w:t>
      </w:r>
      <w:r>
        <w:t xml:space="preserve">}</w:t>
      </w:r>
      <w:r>
        <w:t xml:space="preserve">. At test ratio</w:t>
      </w:r>
      <w:r>
        <w:t xml:space="preserve"> </w:t>
      </w:r>
      <w:r>
        <w:t xml:space="preserve">1, all-row/two-stage mean utilities are +107</w:t>
      </w:r>
      <w:r>
        <w:t xml:space="preserve">.</w:t>
      </w:r>
      <w:r>
        <w:t xml:space="preserve">9</w:t>
      </w:r>
      <w:r>
        <w:t xml:space="preserve">∕</w:t>
      </w:r>
      <w:r>
        <w:t xml:space="preserve"> </w:t>
      </w:r>
      <w:r>
        <w:t xml:space="preserve">+ 110</w:t>
      </w:r>
      <w:r>
        <w:t xml:space="preserve">.</w:t>
      </w:r>
      <w:r>
        <w:t xml:space="preserve">6 per 10,000, below always recovery (+132</w:t>
      </w:r>
      <w:r>
        <w:t xml:space="preserve">.</w:t>
      </w:r>
      <w:r>
        <w:t xml:space="preserve">1). At ratio 2, their</w:t>
      </w:r>
      <w:r>
        <w:t xml:space="preserve"> </w:t>
      </w:r>
      <w:r>
        <w:t xml:space="preserve">means are +30</w:t>
      </w:r>
      <w:r>
        <w:t xml:space="preserve">.</w:t>
      </w:r>
      <w:r>
        <w:t xml:space="preserve">8</w:t>
      </w:r>
      <w:r>
        <w:t xml:space="preserve">∕</w:t>
      </w:r>
      <w:r>
        <w:t xml:space="preserve"> </w:t>
      </w:r>
      <w:r>
        <w:t xml:space="preserve">+ 37</w:t>
      </w:r>
      <w:r>
        <w:t xml:space="preserve">.</w:t>
      </w:r>
      <w:r>
        <w:t xml:space="preserve">8, above always recovery (+15</w:t>
      </w:r>
      <w:r>
        <w:t xml:space="preserve">.</w:t>
      </w:r>
      <w:r>
        <w:t xml:space="preserve">5). The two-stage 95% fitted-pair interval is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 to</w:t>
      </w:r>
      <w:r>
        <w:t xml:space="preserve"> </w:t>
      </w:r>
      <w:r>
        <w:t xml:space="preserve">+78</w:t>
      </w:r>
      <w:r>
        <w:t xml:space="preserve">.</w:t>
      </w:r>
      <w:r>
        <w:t xml:space="preserve">3, 7/10 fitted pairs are positive and the mean test-minus-calibration utility is</w:t>
      </w:r>
      <w:r>
        <w:t xml:space="preserve"> </w:t>
      </w:r>
      <w:r>
        <w:t xml:space="preserve">−</w:t>
      </w:r>
      <w:r>
        <w:t xml:space="preserve">99</w:t>
      </w:r>
      <w:r>
        <w:t xml:space="preserve">.</w:t>
      </w:r>
      <w:r>
        <w:t xml:space="preserve">0. At ratios 5 and 10</w:t>
      </w:r>
      <w:r>
        <w:t xml:space="preserve"> </w:t>
      </w:r>
      <w:r>
        <w:t xml:space="preserve">every non-base policy has negative mean utility. This is a fixed-test analytical comparison, not a deployment</w:t>
      </w:r>
      <w:r>
        <w:t xml:space="preserve"> </w:t>
      </w:r>
      <w:r>
        <w:t xml:space="preserve">recommendation.</w:t>
      </w:r>
    </w:p>
    <w:p>
      <w:pPr>
        <w:pStyle w:val="BodyText"/>
      </w:pPr>
      <w:r>
        <w:t xml:space="preserve">Only conditional Lite-CF has the retrospectively evaluated pair-level support gate. A conditional fit that fails it falls</w:t>
      </w:r>
      <w:r>
        <w:t xml:space="preserve"> </w:t>
      </w:r>
      <w:r>
        <w:t xml:space="preserve">directly back to PDRF and cannot switch automatically to all-row or two-stage routing. The all-row and</w:t>
      </w:r>
      <w:r>
        <w:t xml:space="preserve"> </w:t>
      </w:r>
      <w:r>
        <w:t xml:space="preserve">two-stage variants remain calibration-frozen analytical controls because no independent model-specific support</w:t>
      </w:r>
      <w:r>
        <w:t xml:space="preserve"> </w:t>
      </w:r>
      <w:r>
        <w:t xml:space="preserve">gates were defined for them. Prospective deployment would require a separately frozen support rule for the</w:t>
      </w:r>
      <w:r>
        <w:t xml:space="preserve"> </w:t>
      </w:r>
      <w:r>
        <w:t xml:space="preserve">chosen router family, followed by cost-specific threshold selection; failure at the support stage would revert to</w:t>
      </w:r>
      <w:r>
        <w:t xml:space="preserve"> </w:t>
      </w:r>
      <w:r>
        <w:t xml:space="preserve">PDRF.</w:t>
      </w:r>
    </w:p>
    <w:p>
      <w:pPr>
        <w:pStyle w:val="BodyText"/>
      </w:pPr>
      <w:bookmarkStart w:id="47" w:name="x1-3001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Ratio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Policy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Cal.</w:t>
                  </w:r>
                  <w:r>
                    <w:t xml:space="preserve"> </w:t>
                  </w:r>
                  <w:r>
                    <w:t xml:space="preserve">U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</w:t>
                  </w:r>
                  <w:r>
                    <w:t xml:space="preserve"> </w:t>
                  </w:r>
                  <w:r>
                    <w:t xml:space="preserve">U</w:t>
                  </w:r>
                  <w:r>
                    <w:t xml:space="preserve"> </w:t>
                  </w:r>
                  <w:r>
                    <w:t xml:space="preserve">[95% CI]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[IQR]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</w:t>
                  </w:r>
                  <w:r>
                    <w:t xml:space="preserve">−</w:t>
                  </w:r>
                  <w:r>
                    <w:t xml:space="preserve">cal.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base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recovery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+132.1 [+83.9,+180.4]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+130.6 [+73.1,+159.7]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 [-0.0,+31.7]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+7.0 [+0.0,+29.2]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 gate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+7.5 [-3.0,+18.0]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[+0.0,+8.7]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+9.6 [+0.2,+19.0]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+3.5 [+0.0,+14.4]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+180.5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+106.4 [+43.3,+169.5]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+106.2 [+33.1,+157.6]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65.1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+194.8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+107.9 [+50.5,+165.4]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+107.1 [+38.7,+132.7]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-86.9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+183.7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+110.6 [+51.7,+169.4]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+104.5 [+41.3,+156.7]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-73.2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base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recovery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+15.5 [-50.1,+81.0]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+19.2 [-50.5,+59.6]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+7.5 [-11.7,+26.7]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+5.2 [-2.6,+21.8]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 gate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+0.7 [-14.3,+15.7]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[+0.0,+7.8]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+5.0 [-1.6,+11.7]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+2.6 [+0.0,+8.3]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+144.3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+27.7 [-23.9,+79.3]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+38.3 [+0.0,+54.4]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-116.7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41.6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+30.8 [-12.3,+74.0]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+25.2 [+4.8,+52.2]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-122.5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54.1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+136.8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+37.8 [-2.7,+78.3]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+23.5 [+1.3,+61.8]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-99.0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48.6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base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recovery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-334.4 [-502.9,-166.0]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-346.4 [-403.5,-137.5]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-17.6 [-62.8,+27.7]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[-7.4,+10.0]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 gate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-19.7 [-64.1,+24.7]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[-2.6,+0.0]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 [-22.7,+5.7]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 [-11.3,+0.0]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-52.9 [-132.9,+27.1]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-17.4 [-31.3,+7.0]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-149.1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+104.7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-20.0 [-76.0,+36.0]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 [-17.0,+0.0]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-124.7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+81.9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-33.6 [-120.4,+53.2]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 [-13.9,+25.2]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-115.5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base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[+0.0,+0.0]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recovery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-917.7 [-1276.9,-558.4]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-899.2 [-1082.4,-534.9]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-59.4 [-155.6,+36.8]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-13.1 [-43.1,+0.0]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 gate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-53.6 [-151.3,+44.1]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 [-35.3,+0.0]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safety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-31.2 [-69.0,+6.7]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-15.7 [-39.2,+0.0]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+79.1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-81.7 [-194.0,+30.7]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-25.2 [-51.4,-7.4]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-160.7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+88.1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-95.9 [-222.7,+30.9]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-48.7 [-93.1,+0.0]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-184.0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10:1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+72.8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-86.0 [-230.7,+58.7]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-12.2 [-74.9,+1.3]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-158.8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15.3</w:t>
                  </w:r>
                  <w:r>
                    <w:t xml:space="preserve"> 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Complete fitted-pair dispersion and decision metrics for endpoint, safety and utility-selected policies.</w:t>
      </w:r>
      <w:r>
        <w:t xml:space="preserve"> </w:t>
      </w:r>
      <w:r>
        <w:t xml:space="preserve">Each fitted-pair row first pools the four fixed mechanisms. Utilities are per 10,000 strict observations with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= 1</w:t>
      </w:r>
      <w:r>
        <w:t xml:space="preserve"> </w:t>
      </w:r>
      <w:r>
        <w:t xml:space="preserve">and</w:t>
      </w:r>
      <w:r>
        <w:t xml:space="preserve"> </w:t>
      </w:r>
      <w:r>
        <w:t xml:space="preserve">λ</w:t>
      </w:r>
      <w:r>
        <w:t xml:space="preserve"> </w:t>
      </w:r>
      <w:r>
        <w:t xml:space="preserve">= 0. Calibration utility and test-minus-calibration change are available only for the three utility-selected router</w:t>
      </w:r>
      <w:r>
        <w:t xml:space="preserve"> </w:t>
      </w:r>
      <w:r>
        <w:t xml:space="preserve">families. Because decision-event denominators are pooled within fitted pair before averaging, decision percentages</w:t>
      </w:r>
      <w:r>
        <w:t xml:space="preserve"> </w:t>
      </w:r>
      <w:r>
        <w:t xml:space="preserve">can differ slightly from the equal-weight mechanism–pair headline means.</w:t>
      </w:r>
    </w:p>
    <w:p>
      <w:pPr>
        <w:pStyle w:val="BodyText"/>
      </w:pPr>
      <w:r>
        <w:t xml:space="preserve">Severity transport crosses calibration and test scales 1, 2 and 3. Sensor-group transport calibrates only on group 1 and</w:t>
      </w:r>
      <w:r>
        <w:t xml:space="preserve"> </w:t>
      </w:r>
      <w:r>
        <w:t xml:space="preserve">evaluates all four groups at scale 3. Mechanism transport includes leave-one-mechanism-out, Gaussian-only and five</w:t>
      </w:r>
      <w:r>
        <w:t xml:space="preserve"> </w:t>
      </w:r>
      <w:r>
        <w:t xml:space="preserve">family-mixture calibrations. The family-mixture audit resamples a fixed total calibration size with either equal 25% weights</w:t>
      </w:r>
      <w:r>
        <w:t xml:space="preserve"> </w:t>
      </w:r>
      <w:r>
        <w:t xml:space="preserve">or one mechanism at 70% and the remaining mechanisms at 10% each. These are selector-shift audits; endpoint training is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Temperature-feature sensitivity reconstructs uncalibrated endpoint probabilities from scaled probabilities and fitted</w:t>
      </w:r>
      <w:r>
        <w:t xml:space="preserve"> </w:t>
      </w:r>
      <w:r>
        <w:t xml:space="preserve">temperatures using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rPr>
          <w:vertAlign w:val="superscript"/>
        </w:rPr>
        <w:t xml:space="preserve">raw</w:t>
      </w:r>
      <w:r>
        <w:t xml:space="preserve"> </w:t>
      </w:r>
      <w:r>
        <w:t xml:space="preserve">∝</w:t>
      </w:r>
      <w:r>
        <w:t xml:space="preserve"> </w:t>
      </w:r>
      <w:r>
        <w:t xml:space="preserve">(</w:t>
      </w:r>
      <w:r>
        <w:t xml:space="preserve">p</w:t>
      </w:r>
      <w:r>
        <w:rPr>
          <w:vertAlign w:val="subscript"/>
        </w:rPr>
        <w:t xml:space="preserve">c</w:t>
      </w:r>
      <w:r>
        <w:rPr>
          <w:vertAlign w:val="superscript"/>
        </w:rPr>
        <w:t xml:space="preserve">scaled</w:t>
      </w:r>
      <w:r>
        <w:t xml:space="preserve">)</w:t>
      </w:r>
      <w:r>
        <w:rPr>
          <w:vertAlign w:val="superscript"/>
        </w:rPr>
        <w:t xml:space="preserve">T</w:t>
      </w:r>
      <w:r>
        <w:t xml:space="preserve">. Platt and isotonic mappings fit only out-of-fold conditional scores. Platt mapping is</w:t>
      </w:r>
      <w:r>
        <w:t xml:space="preserve"> </w:t>
      </w:r>
      <w:r>
        <w:t xml:space="preserve">monotone and leaves frozen decisions unchanged after threshold mapping; isotonic plateaus create ties and can</w:t>
      </w:r>
      <w:r>
        <w:t xml:space="preserve"> </w:t>
      </w:r>
      <w:r>
        <w:t xml:space="preserve">change decisions. Rank-normalized and class-conditional logistic controls use the same calibration rows. The</w:t>
      </w:r>
      <w:r>
        <w:t xml:space="preserve"> </w:t>
      </w:r>
      <w:r>
        <w:t xml:space="preserve">output reports preference AUROC, NLL, Brier score and 10-bin ECE separately from emitted-probability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The complete mechanism</w:t>
      </w:r>
      <w:r>
        <w:t xml:space="preserve">×</w:t>
      </w:r>
      <w:r>
        <w:t xml:space="preserve">batch</w:t>
      </w:r>
      <w:r>
        <w:t xml:space="preserve">×</w:t>
      </w:r>
      <w:r>
        <w:t xml:space="preserve">method matrix has one row per fitted pair, mechanism, acquisition batch and policy. It</w:t>
      </w:r>
      <w:r>
        <w:t xml:space="preserve"> </w:t>
      </w:r>
      <w:r>
        <w:t xml:space="preserve">includes accuracy, macro-AUROC, correction and harm opportunities, realized correction and harm counts, prevention,</w:t>
      </w:r>
      <w:r>
        <w:t xml:space="preserve"> </w:t>
      </w:r>
      <w:r>
        <w:t xml:space="preserve">retention, selection and utility. Batch summaries are reported as pooled observation-weighted performance, equal-batch</w:t>
      </w:r>
      <w:r>
        <w:t xml:space="preserve"> </w:t>
      </w:r>
      <w:r>
        <w:t xml:space="preserve">means, fitted-pair-specific worst batch and pooled Batches 8–9 versus Batch 10. All</w:t>
      </w:r>
      <w:r>
        <w:t xml:space="preserve"> </w:t>
      </w:r>
      <w:r>
        <w:t xml:space="preserve">t</w:t>
      </w:r>
      <w:r>
        <w:t xml:space="preserve"> </w:t>
      </w:r>
      <w:r>
        <w:t xml:space="preserve">intervals are labelled</w:t>
      </w:r>
      <w:r>
        <w:t xml:space="preserve"> </w:t>
      </w:r>
      <w:r>
        <w:t xml:space="preserve">fitting-variation intervals and are accompanied by medians, interquartile ranges and full ranges in the CSV source</w:t>
      </w:r>
      <w:r>
        <w:t xml:space="preserve"> </w:t>
      </w:r>
      <w:r>
        <w:t xml:space="preserve">data.</w:t>
      </w:r>
    </w:p>
    <w:bookmarkEnd w:id="49"/>
    <w:bookmarkStart w:id="83" w:name="X053ecf3c2742f8761add5c5822a43135ed72008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50" w:name="x1-40004"/>
      <w:bookmarkEnd w:id="50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51" w:name="x1-4001r18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53" w:name="x1-4002r19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55" w:name="x1-4003r20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57" w:name="x1-4004r21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59" w:name="x1-4005r22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61" w:name="x1-4006r23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63" w:name="x1-4007r24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65" w:name="x1-4008r25"/>
      <w:bookmarkEnd w:id="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6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67" w:name="x1-4009r26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69" w:name="x1-4010r27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71" w:name="x1-4011r28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73" w:name="x1-4012r29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 data</w:t>
      </w:r>
      <w:r>
        <w:t xml:space="preserve"> </w:t>
      </w:r>
      <w:r>
        <w:t xml:space="preserve">loading. The runtime is an Intel Core i5-13500H with PyTorch 2.12.1+cpu. The primary Lite-CF timing audit fixes</w:t>
      </w:r>
      <w:r>
        <w:t xml:space="preserve"> </w:t>
      </w:r>
      <w:r>
        <w:t xml:space="preserve">PyTorch intra-op threads first at one and then at 12; inter-op configuration and all other settings remain</w:t>
      </w:r>
      <w:r>
        <w:t xml:space="preserve"> </w:t>
      </w:r>
      <w:r>
        <w:t xml:space="preserve">unchanged.</w:t>
      </w:r>
    </w:p>
    <w:p>
      <w:pPr>
        <w:pStyle w:val="BodyText"/>
      </w:pPr>
      <w:bookmarkStart w:id="75" w:name="x1-4013r30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1 latency (ms)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4,364 latency (ms)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Throughput (obs/s)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355644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53332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976286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165789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986047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122961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Direct CPU timing for the primary Lite-CF endpoint chain. Each entry is the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</w:t>
      </w:r>
      <w:r>
        <w:t xml:space="preserve"> </w:t>
      </w:r>
      <w:r>
        <w:t xml:space="preserve">of the per-seed median over 10 fitted endpoint pairs. Every median follows three warm-up and seven timed calls;</w:t>
      </w:r>
      <w:r>
        <w:t xml:space="preserve"> </w:t>
      </w:r>
      <w:r>
        <w:t xml:space="preserve">loading is excluded. These workstation measurements are not embedded or real-time guarantees.</w:t>
      </w:r>
    </w:p>
    <w:p>
      <w:pPr>
        <w:pStyle w:val="BodyText"/>
      </w:pPr>
      <w:bookmarkStart w:id="77" w:name="x1-4014r31"/>
      <w:bookmarkEnd w:id="7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8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Threads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Batch-one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4,364-row batch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Throughput (obs/s)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</w:t>
                  </w:r>
                  <w:r>
                    <w:t xml:space="preserve">±</w:t>
                  </w: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9.35</w:t>
                  </w:r>
                  <w:r>
                    <w:t xml:space="preserve">±</w:t>
                  </w: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488,949</w:t>
                  </w:r>
                  <w:r>
                    <w:t xml:space="preserve">±</w:t>
                  </w:r>
                  <w:r>
                    <w:t xml:space="preserve">132,367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</w:t>
                  </w:r>
                  <w:r>
                    <w:t xml:space="preserve">±</w:t>
                  </w: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  <w:r>
                    <w:t xml:space="preserve">±</w:t>
                  </w: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853,406</w:t>
                  </w:r>
                  <w:r>
                    <w:t xml:space="preserve">±</w:t>
                  </w:r>
                  <w:r>
                    <w:t xml:space="preserve">93,267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1.553</w:t>
                  </w:r>
                  <w:r>
                    <w:t xml:space="preserve">±</w:t>
                  </w:r>
                  <w:r>
                    <w:t xml:space="preserve">0.447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11.60</w:t>
                  </w:r>
                  <w:r>
                    <w:t xml:space="preserve">±</w:t>
                  </w: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378,030</w:t>
                  </w:r>
                  <w:r>
                    <w:t xml:space="preserve">±</w:t>
                  </w:r>
                  <w:r>
                    <w:t xml:space="preserve">26,359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  <w:r>
                    <w:t xml:space="preserve">±</w:t>
                  </w: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</w:t>
                  </w:r>
                  <w:r>
                    <w:t xml:space="preserve">±</w:t>
                  </w: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1,087,068</w:t>
                  </w:r>
                  <w:r>
                    <w:t xml:space="preserve">±</w:t>
                  </w:r>
                  <w:r>
                    <w:t xml:space="preserve">170,777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  <w:r>
                    <w:t xml:space="preserve">±</w:t>
                  </w: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3.65</w:t>
                  </w:r>
                  <w:r>
                    <w:t xml:space="preserve">±</w:t>
                  </w: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1,235,798</w:t>
                  </w:r>
                  <w:r>
                    <w:t xml:space="preserve">±</w:t>
                  </w:r>
                  <w:r>
                    <w:t xml:space="preserve">257,809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2.471</w:t>
                  </w:r>
                  <w:r>
                    <w:t xml:space="preserve">±</w:t>
                  </w: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10.21</w:t>
                  </w:r>
                  <w:r>
                    <w:t xml:space="preserve">±</w:t>
                  </w:r>
                  <w:r>
                    <w:t xml:space="preserve">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440,821</w:t>
                  </w:r>
                  <w:r>
                    <w:t xml:space="preserve">±</w:t>
                  </w:r>
                  <w:r>
                    <w:t xml:space="preserve">76,698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Fixed-thread CPU sensitivity for the primary endpoint chain.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of</w:t>
      </w:r>
      <w:r>
        <w:t xml:space="preserve"> </w:t>
      </w:r>
      <w:r>
        <w:t xml:space="preserve">the per-seed medians across 10 fitted pairs. Every median uses three warm-up and seven timed calls. The one-thread</w:t>
      </w:r>
      <w:r>
        <w:t xml:space="preserve"> </w:t>
      </w:r>
      <w:r>
        <w:t xml:space="preserve">and 12-thread rows are separate controlled runs and are not combined.</w:t>
      </w:r>
    </w:p>
    <w:p>
      <w:pPr>
        <w:pStyle w:val="BodyText"/>
      </w:pPr>
      <w:bookmarkStart w:id="79" w:name="x1-4015r32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81" w:name="x1-4016r33"/>
      <w:bookmarkEnd w:id="8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2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8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83"/>
    <w:bookmarkStart w:id="99" w:name="faultsubset-batch-and-class-result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84" w:name="x1-50005"/>
      <w:bookmarkEnd w:id="84"/>
      <w:r>
        <w:t xml:space="preserve">Fault-subset, batch and class results</w:t>
      </w:r>
    </w:p>
    <w:p>
      <w:pPr>
        <w:pStyle w:val="FirstParagraph"/>
      </w:pPr>
      <w:bookmarkStart w:id="85" w:name="x1-5001r34"/>
      <w:bookmarkEnd w:id="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6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87" w:name="x1-5002r35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89" w:name="x1-5003r36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Severity audit against the empirical training distribution at scales 1, 3 and 5. Percentile shifts are absolute</w:t>
      </w:r>
      <w:r>
        <w:t xml:space="preserve"> </w:t>
      </w:r>
      <w:r>
        <w:t xml:space="preserve">changes in empirical cumulative probability. “Within training range” means the empirical minimum–maximum after</w:t>
      </w:r>
      <w:r>
        <w:t xml:space="preserve"> </w:t>
      </w:r>
      <w:r>
        <w:t xml:space="preserve">training-only standardization and clipping, not a physical sensor limit. The formal scale-3 setting is a severe stress</w:t>
      </w:r>
      <w:r>
        <w:t xml:space="preserve"> </w:t>
      </w:r>
      <w:r>
        <w:t xml:space="preserve">test.</w:t>
      </w:r>
    </w:p>
    <w:p>
      <w:pPr>
        <w:pStyle w:val="BodyText"/>
      </w:pPr>
      <w:bookmarkStart w:id="91" w:name="x1-5004r37"/>
      <w:bookmarkEnd w:id="9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9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93" w:name="x1-5005r38"/>
      <w:bookmarkEnd w:id="9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4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9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95" w:name="x1-5006r39"/>
      <w:bookmarkEnd w:id="9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6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9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97" w:name="x1-5007r40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99"/>
    <w:bookmarkStart w:id="103" w:name="diagnosticquality-control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00" w:name="x1-60006"/>
      <w:bookmarkEnd w:id="100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101" w:name="x1-6001r41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2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103"/>
    <w:bookmarkStart w:id="109" w:name="sensor-grouping-and-unseen-groups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104" w:name="x1-70007"/>
      <w:bookmarkEnd w:id="104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105" w:name="x1-7001r42"/>
      <w:bookmarkEnd w:id="10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6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1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107" w:name="x1-7002r43"/>
      <w:bookmarkEnd w:id="1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8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1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109"/>
    <w:bookmarkStart w:id="113" w:name="fault-prevalence-severity-and-location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110" w:name="x1-80008"/>
      <w:bookmarkEnd w:id="110"/>
      <w:r>
        <w:t xml:space="preserve">Fault prevalence, severity and location</w:t>
      </w:r>
    </w:p>
    <w:p>
      <w:pPr>
        <w:pStyle w:val="FirstParagraph"/>
      </w:pPr>
      <w:r>
        <w:t xml:space="preserve">The formal scale-3 corruption is deliberately severe. To test whether the safety finding depends on that severity, we repeated</w:t>
      </w:r>
      <w:r>
        <w:t xml:space="preserve"> </w:t>
      </w:r>
      <w:r>
        <w:t xml:space="preserve">the strict test realization at scale 1 while retaining the scale-3-fitted endpoints, temperature scalars, selector coefficients and</w:t>
      </w:r>
      <w:r>
        <w:t xml:space="preserve"> </w:t>
      </w:r>
      <w:r>
        <w:t xml:space="preserve">thresholds. No endpoint or selector was refitted, and no threshold was retuned on scale-1 outcomes. The mild intervention</w:t>
      </w:r>
      <w:r>
        <w:t xml:space="preserve"> </w:t>
      </w:r>
      <w:r>
        <w:t xml:space="preserve">improved the absolute performance of all endpoints but reduced the number of useful recovery opportunities. Lite-CF</w:t>
      </w:r>
      <w:r>
        <w:t xml:space="preserve"> </w:t>
      </w:r>
      <w:r>
        <w:t xml:space="preserve">retained positive equal-cost utility, although its utility and correction retention were smaller than at scale</w:t>
      </w:r>
      <w:r>
        <w:t xml:space="preserve"> </w:t>
      </w:r>
      <w:r>
        <w:t xml:space="preserve">3.</w:t>
      </w:r>
    </w:p>
    <w:p>
      <w:pPr>
        <w:pStyle w:val="BodyText"/>
      </w:pPr>
      <w:bookmarkStart w:id="111" w:name="x1-8001r44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Mild-versus-formal severity audit on the strict subset. Values are equal-weight means over four controlled</w:t>
      </w:r>
      <w:r>
        <w:t xml:space="preserve"> </w:t>
      </w:r>
      <w:r>
        <w:t xml:space="preserve">mechanisms and 10 fitted endpoint pairs.</w:t>
      </w:r>
      <w:r>
        <w:t xml:space="preserve"> </w:t>
      </w:r>
      <w:r>
        <w:t xml:space="preserve">U∕</w:t>
      </w:r>
      <w:r>
        <w:t xml:space="preserve">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equal correction and harm values and no pass penalty.</w:t>
      </w:r>
    </w:p>
    <w:p>
      <w:pPr>
        <w:pStyle w:val="BodyText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113"/>
    <w:bookmarkStart w:id="115" w:name="score-semantics-and-directional-audit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114" w:name="x1-90009"/>
      <w:bookmarkEnd w:id="114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115"/>
    <w:bookmarkStart w:id="119" w:name="hyperparameter-sensitivity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16" w:name="x1-1000010"/>
      <w:bookmarkEnd w:id="116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117" w:name="x1-10001r45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8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119"/>
    <w:bookmarkStart w:id="129" w:name="X677d708d20320dd3341af513037832429446924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20" w:name="x1-1100011"/>
      <w:bookmarkEnd w:id="120"/>
      <w:r>
        <w:t xml:space="preserve">Independent hydraulic single-rig sensitivity analysis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21" w:name="x1-11001r46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22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  <w:tc>
          <w:tcPr/>
          <w:bookmarkStart w:id="123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24" w:name="x1-11002r47"/>
      <w:bookmarkEnd w:id="12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25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25"/>
          <w:p>
            <w:pPr>
              <w:spacing w:before="0" w:after="0" w:line="240" w:lineRule="auto"/>
            </w:pPr>
          </w:p>
        </w:tc>
        <w:tc>
          <w:tcPr/>
          <w:bookmarkStart w:id="126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27" w:name="x1-11003r48"/>
      <w:bookmarkEnd w:id="1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8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29"/>
    <w:bookmarkStart w:id="135" w:name="X3240f72ee276063f78f9afd20dcf4d765385ecc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30" w:name="x1-1200012"/>
      <w:bookmarkEnd w:id="130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31" w:name="x1-12001r49"/>
      <w:bookmarkEnd w:id="1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2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33" w:name="x1-12002r50"/>
      <w:bookmarkEnd w:id="1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4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35"/>
    <w:bookmarkStart w:id="161" w:name="X6b65fda40896cada606db5cb1e8c8664f32fcb6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36" w:name="x1-1300013"/>
      <w:bookmarkEnd w:id="136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37" w:name="x1-13001r51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39" w:name="x1-13002r52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41" w:name="x1-13003r53"/>
      <w:bookmarkEnd w:id="1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2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43" w:name="x1-13004r54"/>
      <w:bookmarkEnd w:id="1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4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45" w:name="x1-13005r55"/>
      <w:bookmarkEnd w:id="1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6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51" w:name="x1-13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47" w:name="Xeda6489b52b42db5bc1a8aba4771283f9f596c4"/>
            <w:bookmarkEnd w:id="14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51"/>
    <w:bookmarkStart w:id="156" w:name="x1-13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52" w:name="X14e9becebe1e677a195bca01e31fbab25d08cb6"/>
            <w:bookmarkEnd w:id="15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56"/>
    <w:p>
      <w:pPr>
        <w:pStyle w:val="BodyText"/>
      </w:pPr>
      <w:bookmarkStart w:id="157" w:name="x1-13008r56"/>
      <w:bookmarkEnd w:id="1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8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59" w:name="x1-13009r57"/>
      <w:bookmarkEnd w:id="1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61"/>
    <w:bookmarkStart w:id="176" w:name="Xf4120212549880c6f761f813d869c8dde8a7d2b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62" w:name="x1-1400014"/>
      <w:bookmarkEnd w:id="162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63" w:name="x1-14001r58"/>
      <w:bookmarkEnd w:id="1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4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65" w:name="x1-14002r59"/>
      <w:bookmarkEnd w:id="1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6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67" w:name="x1-14003r60"/>
      <w:bookmarkEnd w:id="1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8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69" w:name="x1-14004r61"/>
      <w:bookmarkEnd w:id="1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0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75" w:name="x1-14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71" w:name="Xec95cabfc16f09e0d1455d0476b40c9251da864"/>
            <w:bookmarkEnd w:id="17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75"/>
    <w:bookmarkEnd w:id="176"/>
    <w:bookmarkStart w:id="180" w:name="scoregeometry-sensitivity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77" w:name="x1-1500015"/>
      <w:bookmarkEnd w:id="177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78" w:name="x1-15001r62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80"/>
    <w:bookmarkStart w:id="184" w:name="hydraulic-nointerpolation-audit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81" w:name="x1-1600016"/>
      <w:bookmarkEnd w:id="181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82" w:name="x1-16001r63"/>
      <w:bookmarkEnd w:id="18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3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8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84"/>
    <w:bookmarkStart w:id="216" w:name="Xe64f823acd1b9504c5af5fe47a9c6e086e49b26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85" w:name="x1-1700017"/>
      <w:bookmarkEnd w:id="185"/>
      <w:r>
        <w:t xml:space="preserve">Real-operational AHU direct-diagnosis boundary analysis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S64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86" w:name="x1-17001r64"/>
      <w:bookmarkEnd w:id="18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7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8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88" w:name="x1-17002r65"/>
      <w:bookmarkEnd w:id="18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9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8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90" w:name="x1-17003r66"/>
      <w:bookmarkEnd w:id="19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1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9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92" w:name="x1-17004r67"/>
      <w:bookmarkEnd w:id="19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3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9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S65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94" w:name="x1-17005r68"/>
      <w:bookmarkEnd w:id="19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5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9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S69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96" w:name="x1-17006r69"/>
      <w:bookmarkEnd w:id="19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7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9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98" w:name="x1-17007r70"/>
      <w:bookmarkEnd w:id="19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9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9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204" w:name="x1-17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0" w:name="X6b33f746004aa39f530f86014b516ffaa230d04"/>
            <w:bookmarkEnd w:id="20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204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S71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205" w:name="x1-17009r71"/>
      <w:bookmarkEnd w:id="20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6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2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207" w:name="x1-17010r72"/>
      <w:bookmarkEnd w:id="2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8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2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209" w:name="x1-17011r73"/>
      <w:bookmarkEnd w:id="20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0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21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215" w:name="x1-17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11" w:name="X66795803584d3a9da60120d1a82c36daaeed758"/>
            <w:bookmarkEnd w:id="21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215"/>
    <w:bookmarkEnd w:id="216"/>
    <w:bookmarkStart w:id="240" w:name="X9f66ad2798df63c232dca56e578c408d5517577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17" w:name="x1-1800018"/>
      <w:bookmarkEnd w:id="217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S74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218" w:name="x1-18001r74"/>
      <w:bookmarkEnd w:id="21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9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21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20" w:name="x1-18002r75"/>
      <w:bookmarkEnd w:id="22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1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2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22" w:name="x1-18003r76"/>
      <w:bookmarkEnd w:id="22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3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24" w:name="x1-18004r77"/>
      <w:bookmarkEnd w:id="22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5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2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26" w:name="x1-18005r78"/>
      <w:bookmarkEnd w:id="22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7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2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32" w:name="x1-18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28" w:name="X3a1f417d54c90f38d88e70cf1beb43c8ca90cca"/>
            <w:bookmarkEnd w:id="22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32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33" w:name="x1-18007r79"/>
      <w:bookmarkEnd w:id="2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4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39" w:name="x1-18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35" w:name="X0e69bb857b8943688307804e0b13295031a8581"/>
            <w:bookmarkEnd w:id="23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39"/>
    <w:bookmarkEnd w:id="240"/>
    <w:bookmarkStart w:id="252" w:name="Xda201bf6672fdf04fcf8c5c079ab95e6263b622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41" w:name="x1-1900019"/>
      <w:bookmarkEnd w:id="241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42" w:name="x1-19001r80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44" w:name="x1-19002r81"/>
      <w:bookmarkEnd w:id="24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5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4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46" w:name="x1-19003r82"/>
      <w:bookmarkEnd w:id="24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7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4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48" w:name="x1-19004r83"/>
      <w:bookmarkEnd w:id="24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9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4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50" w:name="x1-19005r84"/>
      <w:bookmarkEnd w:id="25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1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5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52"/>
    <w:bookmarkStart w:id="260" w:name="X4c44e3559c3e75cf6bad14b46e1ec69ad17387c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53" w:name="x1-2000020"/>
      <w:bookmarkEnd w:id="253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54" w:name="x1-20001r85"/>
      <w:bookmarkEnd w:id="25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5" w:name="TBL-8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5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S85: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56" w:name="x1-20002r86"/>
      <w:bookmarkEnd w:id="25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7" w:name="TBL-8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5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S86: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58" w:name="x1-20003r87"/>
      <w:bookmarkEnd w:id="25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9" w:name="TBL-9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5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S87:</w:t>
      </w:r>
      <w:r>
        <w:t xml:space="preserve"> </w:t>
      </w:r>
      <w:r>
        <w:t xml:space="preserve">Nearest-training-cycle audit in standardized 240-dimensional hydraulic feature space.</w:t>
      </w:r>
    </w:p>
    <w:bookmarkEnd w:id="260"/>
    <w:bookmarkStart w:id="278" w:name="X2422d8abbca0b24ed49df6949ead35d55d7fbf5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61" w:name="x1-2100021"/>
      <w:bookmarkEnd w:id="261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62" w:name="x1-21001r88"/>
      <w:bookmarkEnd w:id="2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3" w:name="TBL-9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S88:</w:t>
      </w:r>
      <w:r>
        <w:t xml:space="preserve"> </w:t>
      </w:r>
      <w:r>
        <w:t xml:space="preserve">Chemical fixed-ensemble probability quality under probability and logit averaging.</w:t>
      </w:r>
    </w:p>
    <w:bookmarkStart w:id="268" w:name="x1-21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4" w:name="Xb4fbd86cfb18846f699e38b3225243d2fb9c3d5"/>
            <w:bookmarkEnd w:id="26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68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69" w:name="x1-21003r89"/>
      <w:bookmarkEnd w:id="2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0" w:name="TBL-9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S89: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71" w:name="x1-21004r90"/>
      <w:bookmarkEnd w:id="2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2" w:name="TBL-9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S90: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77" w:name="x1-21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3" w:name="X228bb6e5c92f229a2a3cbe4b635ea8ac16bc1ed"/>
            <w:bookmarkEnd w:id="27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77"/>
    <w:bookmarkEnd w:id="278"/>
    <w:bookmarkStart w:id="306" w:name="archived-originalprotocol-analyses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79" w:name="x1-2200022"/>
      <w:bookmarkEnd w:id="279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80" w:name="x1-22001r91"/>
      <w:bookmarkEnd w:id="28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1" w:name="TBL-9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8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S91: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82" w:name="x1-22002r92"/>
      <w:bookmarkEnd w:id="28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3" w:name="TBL-9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8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S92: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84" w:name="x1-22003r93"/>
      <w:bookmarkEnd w:id="28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5" w:name="TBL-9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8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S93: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90" w:name="x1-22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6" w:name="X940203e12ada9d4be95ebff6f4c623a4797bed2"/>
            <w:bookmarkEnd w:id="28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90"/>
    <w:bookmarkStart w:id="295" w:name="x1-22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91" w:name="X9178c56c7d5bfdc1aafdecdd469785d4d62ae00"/>
            <w:bookmarkEnd w:id="29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95"/>
    <w:bookmarkStart w:id="300" w:name="x1-22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96" w:name="X1141f10bc0af46dfd5b303139eabc0871fa0a5e"/>
            <w:bookmarkEnd w:id="29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300"/>
    <w:bookmarkStart w:id="305" w:name="x1-22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301" w:name="X1dc45eca63888e8e1d43316cfd64bf72fda671c"/>
            <w:bookmarkEnd w:id="30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305"/>
    <w:bookmarkEnd w:id="306"/>
    <w:bookmarkStart w:id="311" w:name="external-publicdata-feasibility-audit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307" w:name="x1-2300023"/>
      <w:bookmarkEnd w:id="307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308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309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310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311"/>
    <w:bookmarkStart w:id="313" w:name="reproducibility-and-scope"/>
    <w:p>
      <w:pPr>
        <w:pStyle w:val="Heading3"/>
      </w:pPr>
      <w:r>
        <w:t xml:space="preserve">24</w:t>
      </w:r>
      <w:r>
        <w:t xml:space="preserve"> </w:t>
      </w:r>
      <w:r>
        <w:t xml:space="preserve"> </w:t>
      </w:r>
      <w:bookmarkStart w:id="312" w:name="x1-2400024"/>
      <w:bookmarkEnd w:id="312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,</w:t>
      </w:r>
      <w:r>
        <w:t xml:space="preserve"> </w:t>
      </w:r>
      <w:r>
        <w:t xml:space="preserve">run_cee_strict88_additional_audits.py</w:t>
      </w:r>
      <w:r>
        <w:t xml:space="preserve">,</w:t>
      </w:r>
      <w:r>
        <w:t xml:space="preserve"> </w:t>
      </w:r>
      <w:r>
        <w:t xml:space="preserve">analyse_cee_strict88_revision.py</w:t>
      </w:r>
      <w:r>
        <w:t xml:space="preserve">,</w:t>
      </w:r>
      <w:r>
        <w:t xml:space="preserve"> </w:t>
      </w:r>
      <w:r>
        <w:t xml:space="preserve">analyse_cee_major_router_audits.py</w:t>
      </w:r>
      <w:r>
        <w:t xml:space="preserve">,</w:t>
      </w:r>
      <w:r>
        <w:t xml:space="preserve"> </w:t>
      </w:r>
      <w:r>
        <w:t xml:space="preserve">run_cee_major_severity_transport.py</w:t>
      </w:r>
      <w:r>
        <w:t xml:space="preserve">,</w:t>
      </w:r>
      <w:r>
        <w:t xml:space="preserve"> </w:t>
      </w:r>
      <w:r>
        <w:t xml:space="preserve">analyse_cee_major_shift_audits.py</w:t>
      </w:r>
      <w:r>
        <w:t xml:space="preserve">,</w:t>
      </w:r>
      <w:r>
        <w:t xml:space="preserve"> </w:t>
      </w:r>
      <w:r>
        <w:t xml:space="preserve">analyse_cee_round2_revision.py</w:t>
      </w:r>
      <w:r>
        <w:t xml:space="preserve">,</w:t>
      </w:r>
      <w:r>
        <w:t xml:space="preserve"> </w:t>
      </w:r>
      <w:r>
        <w:t xml:space="preserve">make_cee_q1_figures.py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make_cee_major_revision_figures.py</w:t>
      </w:r>
      <w:r>
        <w:t xml:space="preserve">. The machine-readable frozen design is</w:t>
      </w:r>
      <w:r>
        <w:t xml:space="preserve"> </w:t>
      </w:r>
      <w:r>
        <w:t xml:space="preserve">cee_cf10_r2_lite_config.json</w:t>
      </w:r>
      <w:r>
        <w:t xml:space="preserve">; added</w:t>
      </w:r>
      <w:r>
        <w:t xml:space="preserve"> </w:t>
      </w:r>
      <w:r>
        <w:t xml:space="preserve">designs are</w:t>
      </w:r>
      <w:r>
        <w:t xml:space="preserve"> </w:t>
      </w:r>
      <w:r>
        <w:t xml:space="preserve">source_data/strict88_additional_audits_design.json</w:t>
      </w:r>
      <w:r>
        <w:t xml:space="preserve">,</w:t>
      </w:r>
      <w:r>
        <w:t xml:space="preserve"> </w:t>
      </w:r>
      <w:r>
        <w:t xml:space="preserve">source_data/major_router_audit_design.json</w:t>
      </w:r>
      <w:r>
        <w:t xml:space="preserve"> </w:t>
      </w:r>
      <w:r>
        <w:t xml:space="preserve">and</w:t>
      </w:r>
      <w:r>
        <w:t xml:space="preserve"> </w:t>
      </w:r>
      <w:r>
        <w:t xml:space="preserve">source_data/major_shift_design.json</w:t>
      </w:r>
      <w:r>
        <w:t xml:space="preserve">. 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 outputs, selector thresholds, full Pareto curves, all-row probabilities, matched</w:t>
      </w:r>
      <w:r>
        <w:t xml:space="preserve"> </w:t>
      </w:r>
      <w:r>
        <w:t xml:space="preserve">controls, utility thresholds, mechanism/severity/group/batch transport, engineering event efficiency, fixed-thread timings,</w:t>
      </w:r>
      <w:r>
        <w:t xml:space="preserve"> </w:t>
      </w:r>
      <w:r>
        <w:t xml:space="preserve">27 support-gate configurations and fitted-pair utility dispersion are stored under</w:t>
      </w:r>
      <w:r>
        <w:t xml:space="preserve"> </w:t>
      </w:r>
      <w:r>
        <w:t xml:space="preserve">source_data/q1_*</w:t>
      </w:r>
      <w:r>
        <w:t xml:space="preserve">,</w:t>
      </w:r>
      <w:r>
        <w:t xml:space="preserve"> </w:t>
      </w:r>
      <w:r>
        <w:t xml:space="preserve">source_data/strict88_*</w:t>
      </w:r>
      <w:r>
        <w:t xml:space="preserve">,</w:t>
      </w:r>
      <w:r>
        <w:t xml:space="preserve"> </w:t>
      </w:r>
      <w:r>
        <w:t xml:space="preserve">source_data/major_*</w:t>
      </w:r>
      <w:r>
        <w:t xml:space="preserve"> </w:t>
      </w:r>
      <w:r>
        <w:t xml:space="preserve">and</w:t>
      </w:r>
      <w:r>
        <w:t xml:space="preserve"> </w:t>
      </w:r>
      <w:r>
        <w:t xml:space="preserve">source_data/round2_*</w:t>
      </w:r>
      <w:r>
        <w:t xml:space="preserve">. The routing API emits the selected</w:t>
      </w:r>
      <w:r>
        <w:t xml:space="preserve"> </w:t>
      </w:r>
      <w:r>
        <w:t xml:space="preserve">probability vector by default and, when requested, also returns endpoint identity and the conditional preference score.</w:t>
      </w:r>
      <w:r>
        <w:t xml:space="preserve"> </w:t>
      </w:r>
      <w:r>
        <w:t xml:space="preserve">Figures use Python/matplotlib exclusively. Editable SVG/PDF figures and 600-dpi TIFFs are included. All legacy</w:t>
      </w:r>
      <w:r>
        <w:t xml:space="preserve"> </w:t>
      </w:r>
      <w:r>
        <w:t xml:space="preserve">selector baselines, negative analyses and superseded estimands remain auditable.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313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2" Type="http://schemas.openxmlformats.org/officeDocument/2006/relationships/image" Target="media/rId292.png"/><Relationship Id="rId287" Type="http://schemas.openxmlformats.org/officeDocument/2006/relationships/image" Target="media/rId287.png"/><Relationship Id="rId297" Type="http://schemas.openxmlformats.org/officeDocument/2006/relationships/image" Target="media/rId297.png"/><Relationship Id="rId302" Type="http://schemas.openxmlformats.org/officeDocument/2006/relationships/image" Target="media/rId302.png"/><Relationship Id="rId201" Type="http://schemas.openxmlformats.org/officeDocument/2006/relationships/image" Target="media/rId201.png"/><Relationship Id="rId212" Type="http://schemas.openxmlformats.org/officeDocument/2006/relationships/image" Target="media/rId212.png"/><Relationship Id="rId229" Type="http://schemas.openxmlformats.org/officeDocument/2006/relationships/image" Target="media/rId229.png"/><Relationship Id="rId236" Type="http://schemas.openxmlformats.org/officeDocument/2006/relationships/image" Target="media/rId236.png"/><Relationship Id="rId265" Type="http://schemas.openxmlformats.org/officeDocument/2006/relationships/image" Target="media/rId265.png"/><Relationship Id="rId274" Type="http://schemas.openxmlformats.org/officeDocument/2006/relationships/image" Target="media/rId274.png"/><Relationship Id="rId153" Type="http://schemas.openxmlformats.org/officeDocument/2006/relationships/image" Target="media/rId153.png"/><Relationship Id="rId172" Type="http://schemas.openxmlformats.org/officeDocument/2006/relationships/image" Target="media/rId172.png"/><Relationship Id="rId148" Type="http://schemas.openxmlformats.org/officeDocument/2006/relationships/image" Target="media/rId148.png"/><Relationship Id="rId308" Type="http://schemas.openxmlformats.org/officeDocument/2006/relationships/hyperlink" Target="https://data.nasa.gov/dataset/modeling-detection-and-disambiguation-of-sensor-faults-for-aerospace-applications" TargetMode="External"/><Relationship Id="rId309" Type="http://schemas.openxmlformats.org/officeDocument/2006/relationships/hyperlink" Target="https://doi.org/10.5281/zenodo.8195068" TargetMode="External"/><Relationship Id="rId310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308" Type="http://schemas.openxmlformats.org/officeDocument/2006/relationships/hyperlink" Target="https://data.nasa.gov/dataset/modeling-detection-and-disambiguation-of-sensor-faults-for-aerospace-applications" TargetMode="External"/><Relationship Id="rId309" Type="http://schemas.openxmlformats.org/officeDocument/2006/relationships/hyperlink" Target="https://doi.org/10.5281/zenodo.8195068" TargetMode="External"/><Relationship Id="rId310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Support-gated selective recovery under controlled multi-sensor corruption</dc:title>
  <dc:creator>Riyang Luo</dc:creator>
  <dc:language>en-US</dc:language>
  <cp:keywords/>
  <dcterms:created xsi:type="dcterms:W3CDTF">2026-07-15T15:19:29Z</dcterms:created>
  <dcterms:modified xsi:type="dcterms:W3CDTF">2026-07-15T15:19:29Z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