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 been</w:t>
      </w:r>
      <w:r>
        <w:t xml:space="preserve"> </w:t>
      </w:r>
      <w:r>
        <w:t xml:space="preserve">corrupted. A recovery model may then correct a wrong decision or overturn a correct one. We</w:t>
      </w:r>
      <w:r>
        <w:t xml:space="preserve"> </w:t>
      </w:r>
      <w:r>
        <w:t xml:space="preserve">address this trade-off with paired clean–faulted training and a cross-fitted router that selects</w:t>
      </w:r>
      <w:r>
        <w:t xml:space="preserve"> </w:t>
      </w:r>
      <w:r>
        <w:t xml:space="preserve">between a bounded base model and a recovery-supervised endpoint without test labels or</w:t>
      </w:r>
      <w:r>
        <w:t xml:space="preserve"> </w:t>
      </w:r>
      <w:r>
        <w:t xml:space="preserve">fault-type inputs. The primary objective is hard-decision safety, measured by negative-transfer</w:t>
      </w:r>
      <w:r>
        <w:t xml:space="preserve"> </w:t>
      </w:r>
      <w:r>
        <w:t xml:space="preserve">prevention, recovery retention and net utility; ranking and probability quality are secondary.</w:t>
      </w:r>
      <w:r>
        <w:t xml:space="preserve"> </w:t>
      </w:r>
      <w:r>
        <w:t xml:space="preserve">On 1,436 held-out observations per mechanism with a controlled fault that reached an available</w:t>
      </w:r>
      <w:r>
        <w:t xml:space="preserve"> </w:t>
      </w:r>
      <w:r>
        <w:t xml:space="preserve">group, the two-pass Lite-CF router prevented 94.7% of recovery-induced negative transfers</w:t>
      </w:r>
      <w:r>
        <w:t xml:space="preserve"> </w:t>
      </w:r>
      <w:r>
        <w:t xml:space="preserve">while retaining 9.7% of available corrections. Its mean macro-AUROC was 0.8151, compared</w:t>
      </w:r>
      <w:r>
        <w:t xml:space="preserve"> </w:t>
      </w:r>
      <w:r>
        <w:t xml:space="preserve">with 0.8115 for the base model and 0.8175 for unconditional recovery. Router calibration was</w:t>
      </w:r>
      <w:r>
        <w:t xml:space="preserve"> </w:t>
      </w:r>
      <w:r>
        <w:t xml:space="preserve">sparse and model-specific: only 89.7 correctness disagreements informed each fit on average,</w:t>
      </w:r>
      <w:r>
        <w:t xml:space="preserve"> </w:t>
      </w:r>
      <w:r>
        <w:t xml:space="preserve">and repeated thresholds ranged from 0.525 to 0.90. On the present fixed test set, fitted-pair</w:t>
      </w:r>
      <w:r>
        <w:t xml:space="preserve"> </w:t>
      </w:r>
      <w:r>
        <w:t xml:space="preserve">intervals were positive for Gaussian and stuck-at corruption but not uniformly for offset or</w:t>
      </w:r>
      <w:r>
        <w:t xml:space="preserve"> </w:t>
      </w:r>
      <w:r>
        <w:t xml:space="preserve">drift. At equal correction and harm values, Lite-CF gained 15.8 correct decisions per 10,000</w:t>
      </w:r>
      <w:r>
        <w:t xml:space="preserve"> </w:t>
      </w:r>
      <w:r>
        <w:t xml:space="preserve">strict observations, but complete-stream utility was negative at 0% and 10% controlled-fault</w:t>
      </w:r>
      <w:r>
        <w:t xml:space="preserve"> </w:t>
      </w:r>
      <w:r>
        <w:t xml:space="preserve">prevalence. The strict-set advantage disappeared when one harm exceeded approximately 2.9</w:t>
      </w:r>
      <w:r>
        <w:t xml:space="preserve"> </w:t>
      </w:r>
      <w:r>
        <w:t xml:space="preserve">corrections. Unsupported deployments must retain the base endpoint. The evidence supports a</w:t>
      </w:r>
      <w:r>
        <w:t xml:space="preserve"> </w:t>
      </w:r>
      <w:r>
        <w:t xml:space="preserve">conservative risk-control layer for controlled available-group corruption, not general predictive</w:t>
      </w:r>
      <w:r>
        <w:t xml:space="preserve"> </w:t>
      </w:r>
      <w:r>
        <w:t xml:space="preserve">superiority, natural-failure recovery or device-independent field performance.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5723539f7741318a17c34745098cfdc9f201b7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 and denominators.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count correction and harm</w:t>
      </w:r>
      <w:r>
        <w:t xml:space="preserve"> </w:t>
      </w:r>
      <w:r>
        <w:t xml:space="preserve">opportunities;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count retained corrections and realized harms. Prevention is 1</w:t>
      </w:r>
      <w:r>
        <w:t xml:space="preserve">−</w:t>
      </w:r>
      <w:r>
        <w:t xml:space="preserve">n</w:t>
      </w:r>
      <w:r>
        <w:rPr>
          <w:vertAlign w:val="subscript"/>
        </w:rPr>
        <w:t xml:space="preserve">H</w:t>
      </w:r>
      <w:r>
        <w:t xml:space="preserve">∕N</w:t>
      </w:r>
      <w:r>
        <w:rPr>
          <w:vertAlign w:val="subscript"/>
        </w:rPr>
        <w:t xml:space="preserve">H</w:t>
      </w:r>
      <w:r>
        <w:t xml:space="preserve">,</w:t>
      </w:r>
      <w:r>
        <w:t xml:space="preserve"> </w:t>
      </w:r>
      <w:r>
        <w:t xml:space="preserve">whereas recovery retention is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∕N</w:t>
      </w:r>
      <w:r>
        <w:rPr>
          <w:vertAlign w:val="subscript"/>
        </w:rPr>
        <w:t xml:space="preserve">C</w:t>
      </w:r>
      <w:r>
        <w:t xml:space="preserve">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Denominator symbol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opportunity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∕N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 opportunity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∕N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Realized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endpoint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∕N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perceptron; uniform fusion averages group logits. Both receive the same paired degradation and</w:t>
      </w:r>
      <w:r>
        <w:t xml:space="preserve"> </w:t>
      </w:r>
      <w:r>
        <w:t xml:space="preserve">degraded-task loss as PDRF. CAGF concatenates four 32-dimensional group representations,</w:t>
      </w:r>
      <w:r>
        <w:t xml:space="preserve"> </w:t>
      </w:r>
      <w:r>
        <w:t xml:space="preserve">masks and quality values before an unrestricted 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shares PDRF’s</w:t>
      </w:r>
      <w:r>
        <w:t xml:space="preserve"> </w:t>
      </w:r>
      <w:r>
        <w:t xml:space="preserve">paired-degradation, consistency and normalized-weight monotonicity losses. Direct weight</w:t>
      </w:r>
      <w:r>
        <w:t xml:space="preserve"> </w:t>
      </w:r>
      <w:r>
        <w:t xml:space="preserve">ranking adds a gate-weight margin, while the quality-only control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response.</w:t>
      </w:r>
    </w:p>
    <w:p>
      <w:pPr>
        <w:pStyle w:val="BodyText"/>
      </w:pPr>
      <w:r>
        <w:t xml:space="preserve">RO-AT-GATE tests stronger cross-group interaction. It adds learned group identities to</w:t>
      </w:r>
      <w:r>
        <w:t xml:space="preserve"> </w:t>
      </w:r>
      <w:r>
        <w:t xml:space="preserve">32-dimensional tokens and applies one four-head attention layer with a 64-unit feed-forward block;</w:t>
      </w:r>
      <w:r>
        <w:t xml:space="preserve"> </w:t>
      </w:r>
      <w:r>
        <w:t xml:space="preserve">unavailable groups are masked.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maps each contextualized token,</w:t>
      </w:r>
      <w:r>
        <w:t xml:space="preserve"> </w:t>
      </w:r>
      <w:r>
        <w:t xml:space="preserve">availability and quality to an unrestricted softmax gate. The 26,809-parameter model receives the same</w:t>
      </w:r>
      <w:r>
        <w:t xml:space="preserve"> </w:t>
      </w:r>
      <w:r>
        <w:t xml:space="preserve">paired views and recovery objective as RO-CAGF. It is a sensor-group attention control, not a</w:t>
      </w:r>
      <w:r>
        <w:t xml:space="preserve"> </w:t>
      </w:r>
      <w:r>
        <w:t xml:space="preserve">reproduction of a task-specific vision or language system 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RO-MER supplies a sample-dependent multi-expert control motivated by failure-resilient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</w:t>
      </w:r>
      <w:r>
        <w:t xml:space="preserve"> </w:t>
      </w:r>
      <w:r>
        <w:t xml:space="preserve">It combines one classifier per physical group with a joint 64-unit expert and a separate 64-unit router. The</w:t>
      </w:r>
      <w:r>
        <w:t xml:space="preserve"> </w:t>
      </w:r>
      <w:r>
        <w:t xml:space="preserve">prediction uses the resulting (</w:t>
      </w:r>
      <w:r>
        <w:t xml:space="preserve">M</w:t>
      </w:r>
      <w:r>
        <w:t xml:space="preserve"> </w:t>
      </w:r>
      <w:r>
        <w:t xml:space="preserve">+ 1)-expert distribution. Losses requiring physical-group weights use the</w:t>
      </w:r>
      <w:r>
        <w:t xml:space="preserve"> </w:t>
      </w:r>
      <w:r>
        <w:t xml:space="preserve">differentiable allocation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38150"/>
                  <wp:effectExtent b="0" l="0" r="0" t="0"/>
                  <wp:docPr descr=" eff aim w im = αim + αiJ∑--a--. k 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38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distributed uniformly only for shared monotonicity and gate regularization;</w:t>
      </w:r>
      <w:r>
        <w:t xml:space="preserve"> </w:t>
      </w:r>
      <w:r>
        <w:t xml:space="preserve">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 does not alter the prediction. RO-MER has 35,811 parameters and uses the same faults, batches,</w:t>
      </w:r>
      <w:r>
        <w:t xml:space="preserve"> </w:t>
      </w:r>
      <w:r>
        <w:t xml:space="preserve">seeds and checkpoint rule 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uniform allocation over</w:t>
      </w:r>
      <w:r>
        <w:t xml:space="preserve"> </w:t>
      </w:r>
      <w:r>
        <w:t xml:space="preserve">available groups. RO-CAGF uses the same coefficients with native softmax weights; RO-PDRF-Full</w:t>
      </w:r>
      <w:r>
        <w:t xml:space="preserve"> </w:t>
      </w:r>
      <w:r>
        <w:t xml:space="preserve">substitutes its response-interior penalty. Recovery supervision, proper scoring, pairwise ranking, paired</w:t>
      </w:r>
      <w:r>
        <w:t xml:space="preserve"> </w:t>
      </w:r>
      <w:r>
        <w:t xml:space="preserve">views and task losses are otherwise matched.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Reducing an affected group’s weight did not ensure prediction recovery. RO-PDRF therefore retains the</w:t>
      </w:r>
      <w:r>
        <w:t xml:space="preserve"> </w:t>
      </w:r>
      <w:r>
        <w:t xml:space="preserve">PDRF architecture and distils the degraded prediction from the detached clean-view prediction. Writing</w:t>
      </w:r>
      <w:r>
        <w:t xml:space="preserve"> </w:t>
      </w:r>
      <w:r>
        <w:drawing>
          <wp:inline>
            <wp:extent cx="133350" cy="219075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19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 gives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requires at least two available groups and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This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PDRF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defines RO-PDRF-Lite.</w:t>
      </w:r>
      <w:r>
        <w:t xml:space="preserve"> </w:t>
      </w:r>
      <w:r>
        <w:t xml:space="preserve">Label-assisted, confidence-weighted, exponential-moving-average and agreement-gated teachers remain</w:t>
      </w:r>
      <w:r>
        <w:t xml:space="preserve"> </w:t>
      </w:r>
      <w:r>
        <w:t xml:space="preserve">supplementary controls; the deployed selector uses no held-out label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∑ ℒBrier = -1- ∥pi − eyi∥22 |ℬ |i∈ℬ 1 ∑ + --- ∥p′i − eyi∥22. |ℬ|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unweighted; class weights remain confined to cross-entropy. A weak log barrier then</w:t>
      </w:r>
      <w:r>
        <w:t xml:space="preserve"> </w:t>
      </w:r>
      <w:r>
        <w:t xml:space="preserve">discourages boundary occupancy without removing the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1 aim¯bim. ℬ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numerical. Finally, a smooth one-versus-rest pairwise</w:t>
      </w:r>
      <w:r>
        <w:t xml:space="preserve"> </w:t>
      </w:r>
      <w:r>
        <w:t xml:space="preserve">loss supervises degraded-view class ordering.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minibatch</w:t>
      </w:r>
      <w:r>
        <w:t xml:space="preserve"> </w:t>
      </w:r>
      <w:r>
        <w:t xml:space="preserve">observations,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and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∑ ℒAUC = -1-- Ac, |𝒞ℬ|c∈𝒞ℬ ∑ ∑ Ac = --i∈Pc---j∈Nc-ϕijc. |Pc||Nc|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The pairwise term is omitted when no class has both outcomes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 RO-PDRF-Full adds</w:t>
      </w:r>
      <w:r>
        <w:t xml:space="preserve"> </w:t>
      </w:r>
      <w:r>
        <w:t xml:space="preserve">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RO-PDRF-Lite is the practical default, Full</w:t>
      </w:r>
      <w:r>
        <w:t xml:space="preserve"> </w:t>
      </w:r>
      <w:r>
        <w:t xml:space="preserve">is the mechanistic architecture comparator and RO-PDRF-EMA is a Full-based calibration sensitivity. No</w:t>
      </w:r>
      <w:r>
        <w:t xml:space="preserve"> </w:t>
      </w:r>
      <w:r>
        <w:t xml:space="preserve">test observation fits a model or ensemble parameter.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 one. We</w:t>
      </w:r>
      <w:r>
        <w:t xml:space="preserve"> </w:t>
      </w:r>
      <w:r>
        <w:t xml:space="preserve">therefore treat routing as hard-decision risk control. Here “Lite” means that the router selects between</w:t>
      </w:r>
      <w:r>
        <w:t xml:space="preserve"> </w:t>
      </w:r>
      <w:r>
        <w:t xml:space="preserve">PDRF and the RO-PDRF-Lite recovery endpoint; it does not merely denote a smaller selector. Both</w:t>
      </w:r>
      <w:r>
        <w:t xml:space="preserve"> </w:t>
      </w:r>
      <w:r>
        <w:t xml:space="preserve">endpoints require one ordinary forward pass and have the same 19,740-parameter architecture. The</w:t>
      </w:r>
      <w:r>
        <w:t xml:space="preserve"> </w:t>
      </w:r>
      <w:r>
        <w:t xml:space="preserve">heavier PDRF/RO-PDRF-Full pair is retained only as a supplementary mechanistic and legacy-routing</w:t>
      </w:r>
      <w:r>
        <w:t xml:space="preserve"> </w:t>
      </w:r>
      <w:r>
        <w:t xml:space="preserve">sensitivity.</w:t>
      </w:r>
    </w:p>
    <w:p>
      <w:pPr>
        <w:pStyle w:val="BodyText"/>
      </w:pPr>
      <w:r>
        <w:t xml:space="preserve">Batch 7 is divided chronologically into two disjoint halves. The first half fits one scalar</w:t>
      </w:r>
      <w:r>
        <w:t xml:space="preserve"> </w:t>
      </w:r>
      <w:r>
        <w:t xml:space="preserve">temperature per endpoint by minimizing multiclass negative log-likelihood. The second contains two</w:t>
      </w:r>
      <w:r>
        <w:t xml:space="preserve"> </w:t>
      </w:r>
      <w:r>
        <w:t xml:space="preserve">calibration-only realizations of each fault mechanism; only interventions that reach an available</w:t>
      </w:r>
      <w:r>
        <w:t xml:space="preserve"> </w:t>
      </w:r>
      <w:r>
        <w:t xml:space="preserve">affected group enter selector development. Routing features use the temperature-scaled endpoint</w:t>
      </w:r>
      <w:r>
        <w:t xml:space="preserve"> </w:t>
      </w:r>
      <w:r>
        <w:t xml:space="preserve">probabilities. The selected endpoint vector is emitted without probability mixing or post-routing</w:t>
      </w:r>
      <w:r>
        <w:t xml:space="preserve"> </w:t>
      </w:r>
      <w:r>
        <w:t xml:space="preserve">recalibration.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Feature means and standard deviations are</w:t>
      </w:r>
      <w:r>
        <w:t xml:space="preserve"> </w:t>
      </w:r>
      <w:r>
        <w:t xml:space="preserve">fitted only on the informative training rows inside each cross-fitting fold, then refitted on all informative</w:t>
      </w:r>
      <w:r>
        <w:t xml:space="preserve"> </w:t>
      </w:r>
      <w:r>
        <w:t xml:space="preserve">calibration rows for the final model.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 the</w:t>
      </w:r>
      <w:r>
        <w:t xml:space="preserve"> </w:t>
      </w:r>
      <w:r>
        <w:t xml:space="preserve">conditional preference</w:t>
      </w:r>
      <w:r>
        <w:t xml:space="preserve"> </w:t>
      </w:r>
      <w:r>
        <w:t xml:space="preserve">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</w:t>
      </w:r>
      <w:r>
        <w:t xml:space="preserve"> </w:t>
      </w:r>
      <w:r>
        <w:t xml:space="preserve">Realizations and mechanisms from the same calibration observation remain in one fold. Candidate</w:t>
      </w:r>
      <w:r>
        <w:t xml:space="preserve"> </w:t>
      </w:r>
      <w:r>
        <w:t xml:space="preserve">thresholds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are evaluated only on pooled out-of-fold scores. Selection minimizes realized</w:t>
      </w:r>
      <w:r>
        <w:t xml:space="preserve"> </w:t>
      </w:r>
      <w:r>
        <w:t xml:space="preserve">harms, then maximizes selected accuracy and retained corrections; remaining ties use the highest</w:t>
      </w:r>
      <w:r>
        <w:t xml:space="preserve"> </w:t>
      </w:r>
      <w:r>
        <w:t xml:space="preserve">threshold. The formal fits had a mean of 1.5 tied thresholds (range 1–4). Final coefficients are refitted on</w:t>
      </w:r>
      <w:r>
        <w:t xml:space="preserve"> </w:t>
      </w:r>
      <w:r>
        <w:t xml:space="preserve">all informative rows while the threshold remains frozen.</w:t>
      </w:r>
    </w:p>
    <w:p>
      <w:pPr>
        <w:pStyle w:val="BodyText"/>
      </w:pPr>
      <w:r>
        <w:t xml:space="preserve">For prospective deployment, mathematical fit is necessary but insufficient. We define an operational</w:t>
      </w:r>
      <w:r>
        <w:t xml:space="preserve"> </w:t>
      </w:r>
      <w:r>
        <w:t xml:space="preserve">support gate requiring at least 25 events in each preference class, median out-of-fold AUROC at least 0.65</w:t>
      </w:r>
      <w:r>
        <w:t xml:space="preserve"> </w:t>
      </w:r>
      <w:r>
        <w:t xml:space="preserve">across 10 repeated grouped splits, no repeated AUROC below 0.60 and a threshold range no wider than</w:t>
      </w:r>
      <w:r>
        <w:t xml:space="preserve"> </w:t>
      </w:r>
      <w:r>
        <w:t xml:space="preserve">0.10. Both preference classes must also occur in every fitting fold. This reviewer-requested gate was</w:t>
      </w:r>
      <w:r>
        <w:t xml:space="preserve"> </w:t>
      </w:r>
      <w:r>
        <w:t xml:space="preserve">specified after the frozen experiment and is not used to replace its headline result. A new site that fails</w:t>
      </w:r>
      <w:r>
        <w:t xml:space="preserve"> </w:t>
      </w:r>
      <w:r>
        <w:t xml:space="preserve">any condition must emit PDRF while collecting additional calibration data. The released routing API</w:t>
      </w:r>
      <w:r>
        <w:t xml:space="preserve"> </w:t>
      </w:r>
      <w:r>
        <w:t xml:space="preserve">returns probabilities by default and can optionally return the selected endpoint identity and</w:t>
      </w:r>
      <w:r>
        <w:t xml:space="preserve"> </w:t>
      </w:r>
      <w:r>
        <w:t xml:space="preserve">conditional preference score; routed confidence remains endpoint-specific rather than globally</w:t>
      </w:r>
      <w:r>
        <w:t xml:space="preserve"> </w:t>
      </w:r>
      <w:r>
        <w:t xml:space="preserve">calibrated.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Legacy Safe-CF-12, staged-cascade, scalar-rule, random-selection and correctness-opportunity controls</w:t>
      </w:r>
      <w:r>
        <w:t xml:space="preserve"> </w:t>
      </w:r>
      <w:r>
        <w:t xml:space="preserve">are defined and evaluated in the Supplementary Information. They are not part of the primary two-pass</w:t>
      </w:r>
      <w:r>
        <w:t xml:space="preserve"> </w:t>
      </w:r>
      <w:r>
        <w:t xml:space="preserve">deployment chain.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886075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607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pass-cost proxy in correction-equivalents</w:t>
      </w:r>
      <w:r>
        <w:t xml:space="preserve"> </w:t>
      </w:r>
      <w:r>
        <w:t xml:space="preserve">per 10,000 observations. 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imposed-fault prevalence and</w:t>
      </w:r>
      <w:r>
        <w:t xml:space="preserve"> </w:t>
      </w:r>
      <w:r>
        <w:t xml:space="preserve">λ</w:t>
      </w:r>
      <w:r>
        <w:t xml:space="preserve">. Energy</w:t>
      </w:r>
      <w:r>
        <w:t xml:space="preserve"> </w:t>
      </w:r>
      <w:r>
        <w:t xml:space="preserve">was not measured; forward passes and counted linear-layer FLOPs remain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Thus every reported “training range” is the empirical</w:t>
      </w:r>
      <w:r>
        <w:t xml:space="preserve"> </w:t>
      </w:r>
      <w:r>
        <w:t xml:space="preserve">minimum–maximum after training-only standardization and clipping; it is not a physical sensor limit. The</w:t>
      </w:r>
      <w:r>
        <w:t xml:space="preserve"> </w:t>
      </w:r>
      <w:r>
        <w:t xml:space="preserve">first 60% of Batch 7 selects checkpoints, and the remaining 40% is reserved for calibration; the</w:t>
      </w:r>
      <w:r>
        <w:t xml:space="preserve"> </w:t>
      </w:r>
      <w:r>
        <w:t xml:space="preserve">routing experiment further divides that calibration partition into temperature and selector</w:t>
      </w:r>
      <w:r>
        <w:t xml:space="preserve"> </w:t>
      </w:r>
      <w:r>
        <w:t xml:space="preserve">halves. Batches 8–10 are never used to fit preprocessing, endpoints, temperatures, selectors or</w:t>
      </w:r>
      <w:r>
        <w:t xml:space="preserve"> </w:t>
      </w:r>
      <w:r>
        <w:t xml:space="preserve">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X677d708d20320dd3341af513037832429446924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single-rig sensitivity analysis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e64f823acd1b9504c5af5fe47a9c6e086e49b26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direct-diagnosis boundary analysis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2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9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had a 52.2% recovery endpoint selection rate, prevented 94.7% of recovery-induced negative</w:t>
      </w:r>
      <w:r>
        <w:t xml:space="preserve"> </w:t>
      </w:r>
      <w:r>
        <w:t xml:space="preserve">transfers and retained 9.7% of available corrections. Its accuracy and macro-AUROC were 0.4885 and</w:t>
      </w:r>
      <w:r>
        <w:t xml:space="preserve"> </w:t>
      </w:r>
      <w:r>
        <w:t xml:space="preserve">0.8151 (Table </w:t>
      </w:r>
      <w:hyperlink w:anchor="X99c87112bb7e918ee1fb83a4e04e8d8a577d944">
        <w:r>
          <w:rPr>
            <w:rStyle w:val="Hyperlink"/>
          </w:rPr>
          <w:t xml:space="preserve">3</w:t>
        </w:r>
      </w:hyperlink>
      <w:r>
        <w:t xml:space="preserve">). Thus the router controlled harmful hard-decision changes but preserved little of the</w:t>
      </w:r>
      <w:r>
        <w:t xml:space="preserve"> </w:t>
      </w:r>
      <w:r>
        <w:t xml:space="preserve">unconditional endpoint’s accuracy 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Accuracy and macro-AUROC</w:t>
      </w:r>
      <w:r>
        <w:t xml:space="preserve"> </w:t>
      </w:r>
      <w:r>
        <w:t xml:space="preserve">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fitted model pairs after averaging the four</w:t>
      </w:r>
      <w:r>
        <w:t xml:space="preserve"> </w:t>
      </w:r>
      <w:r>
        <w:t xml:space="preserve">fixed mechanisms within each pair; remaining columns are corresponding means. These</w:t>
      </w:r>
      <w:r>
        <w:t xml:space="preserve"> </w:t>
      </w:r>
      <w:r>
        <w:t xml:space="preserve">are fitting-dispersion summaries on one fixed test set. Each selector had 89.7 informative</w:t>
      </w:r>
      <w:r>
        <w:t xml:space="preserve"> </w:t>
      </w:r>
      <w:r>
        <w:t xml:space="preserve">endpoint-correctness disagreements on average. Probabilities are temperature-scaled before routing;</w:t>
      </w:r>
      <w:r>
        <w:t xml:space="preserve"> </w:t>
      </w:r>
      <w:r>
        <w:t xml:space="preserve">no probability mixture or post-routing recalibration is applied.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  <w:r>
                    <w:t xml:space="preserve">±</w:t>
                  </w: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  <w:r>
                    <w:t xml:space="preserve">±</w:t>
                  </w:r>
                  <w:r>
                    <w:t xml:space="preserve">0.0115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±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±</w:t>
                  </w: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  <w:r>
                    <w:t xml:space="preserve">±</w:t>
                  </w:r>
                  <w:r>
                    <w:t xml:space="preserve">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±</w:t>
                  </w:r>
                  <w:r>
                    <w:t xml:space="preserve">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52.2% selection rate and 9.7% retention rate have different denominators. Selection is normalized</w:t>
      </w:r>
      <w:r>
        <w:t xml:space="preserve"> </w:t>
      </w:r>
      <w:r>
        <w:t xml:space="preserve">by all 1,436 strict observations, whereas retention is normalized only by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, the sparse rows on</w:t>
      </w:r>
      <w:r>
        <w:t xml:space="preserve"> </w:t>
      </w:r>
      <w:r>
        <w:t xml:space="preserve">which recovery alone corrects PDRF. Selection can therefore be high because the router also</w:t>
      </w:r>
      <w:r>
        <w:t xml:space="preserve"> </w:t>
      </w:r>
      <w:r>
        <w:t xml:space="preserve">chooses recovery on endpoint-class agreements and rows where both endpoints share correctness</w:t>
      </w:r>
      <w:r>
        <w:t xml:space="preserve"> </w:t>
      </w:r>
      <w:r>
        <w:t xml:space="preserve">status. Table </w:t>
      </w:r>
      <w:hyperlink w:anchor="X492e8a3e670f5c2022936a7252a3149dba964c6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the absolute event counts rather than only opportunity-normalized</w:t>
      </w:r>
      <w:r>
        <w:t xml:space="preserve"> </w:t>
      </w:r>
      <w:r>
        <w:t xml:space="preserve">rates.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Absolute strict-subset opportunities and routed events by mechanism.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correction and harm opportunities;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harms.</w:t>
      </w:r>
      <w:r>
        <w:t xml:space="preserve"> </w:t>
      </w:r>
      <w:r>
        <w:t xml:space="preserve">Counts are mean absolute events per 1,436-observation fitted pair, with ranges across 10 fitted pairs</w:t>
      </w:r>
      <w:r>
        <w:t xml:space="preserve"> </w:t>
      </w:r>
      <w:r>
        <w:t xml:space="preserve">in parentheses. Select uses all observations; prevent and retain use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, respectively.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45.9 (36–70)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 (13–32)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 (0–16)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 (0–4)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 (10–49)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 (3–37)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 (0–9)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 (0–15)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 (5–43)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 (4–29)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 (0–7)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 (0–6)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 (16–86)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 (2–36)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 (0–15)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 (0–4)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  <w:r>
                    <w:t xml:space="preserve"> 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residual-harm rate—the observation-level form of a</w:t>
      </w:r>
      <w:r>
        <w:t xml:space="preserve"> </w:t>
      </w:r>
      <w:r>
        <w:t xml:space="preserve">harmful switch—therefore does not imply that the routed probability vector is uniformly</w:t>
      </w:r>
      <w:r>
        <w:t xml:space="preserve"> </w:t>
      </w:r>
      <w:r>
        <w:t xml:space="preserve">better.</w:t>
      </w:r>
    </w:p>
    <w:p>
      <w:pPr>
        <w:pStyle w:val="BodyText"/>
      </w:pPr>
      <w:r>
        <w:t xml:space="preserve">Mechanism-fixed paired intervals replace the four-cluster bootstrap (Table </w:t>
      </w:r>
      <w:hyperlink w:anchor="X125b496f7c8d569d4defb01436a9e2d239288fa">
        <w:r>
          <w:rPr>
            <w:rStyle w:val="Hyperlink"/>
          </w:rPr>
          <w:t xml:space="preserve">5</w:t>
        </w:r>
      </w:hyperlink>
      <w:r>
        <w:t xml:space="preserve">). On the present fixed</w:t>
      </w:r>
      <w:r>
        <w:t xml:space="preserve"> </w:t>
      </w:r>
      <w:r>
        <w:t xml:space="preserve">test set, Gaussian accuracy, AUROC and equal-cost utility differences were positive across fitted model</w:t>
      </w:r>
      <w:r>
        <w:t xml:space="preserve"> </w:t>
      </w:r>
      <w:r>
        <w:t xml:space="preserve">pairs. Stuck-at AUROC was also positive, whereas its accuracy and utility intervals crossed zero.</w:t>
      </w:r>
      <w:r>
        <w:t xml:space="preserve"> </w:t>
      </w:r>
      <w:r>
        <w:t xml:space="preserve">Offset and drift intervals crossed zero for most hard-decision quantities. Gaussian AUROC</w:t>
      </w:r>
      <w:r>
        <w:t xml:space="preserve"> </w:t>
      </w:r>
      <w:r>
        <w:t xml:space="preserve">differences were positive within batches 8, 9 and 10 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0061). These</w:t>
      </w:r>
      <w:r>
        <w:t xml:space="preserve"> </w:t>
      </w:r>
      <w:r>
        <w:t xml:space="preserve">intervals quantify fitting variation on fixed observations, not a population of devices or fault</w:t>
      </w:r>
      <w:r>
        <w:t xml:space="preserve"> </w:t>
      </w:r>
      <w:r>
        <w:t xml:space="preserve">mechanisms.</w:t>
      </w:r>
    </w:p>
    <w:p>
      <w:pPr>
        <w:pStyle w:val="BodyText"/>
      </w:pPr>
      <w:bookmarkStart w:id="153" w:name="x1-190035"/>
      <w:bookmarkEnd w:id="153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Mechanism-fixed paired differences for the hard-decision objective.</w:t>
      </w:r>
      <w:r>
        <w:t xml:space="preserve"> </w:t>
      </w:r>
      <w:r>
        <w:t xml:space="preserve">Values are</w:t>
      </w:r>
      <w:r>
        <w:t xml:space="preserve"> </w:t>
      </w:r>
      <w:r>
        <w:t xml:space="preserve">Lite-CF minus PDRF. Brackets are paired 95% Student-</w:t>
      </w:r>
      <w:r>
        <w:t xml:space="preserve">t</w:t>
      </w:r>
      <w:r>
        <w:t xml:space="preserve"> </w:t>
      </w:r>
      <w:r>
        <w:t xml:space="preserve">intervals across 10 fitted model pairs</w:t>
      </w:r>
      <w:r>
        <w:t xml:space="preserve"> </w:t>
      </w:r>
      <w:r>
        <w:t xml:space="preserve">while holding mechanism and test observations fixed. Equal-cost utility uses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= 1 and</w:t>
      </w:r>
      <w:r>
        <w:t xml:space="preserve"> </w:t>
      </w:r>
      <w:r>
        <w:t xml:space="preserve">λ</w:t>
      </w:r>
      <w:r>
        <w:t xml:space="preserve"> </w:t>
      </w:r>
      <w:r>
        <w:t xml:space="preserve">= 0. These are conditional fitting-stability summaries, not population intervals.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4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Δ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Δ macro-AUROC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Equal-cost</w:t>
                  </w:r>
                  <w:r>
                    <w:t xml:space="preserve"> </w:t>
                  </w: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0033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+32</w:t>
                  </w:r>
                  <w:r>
                    <w:t xml:space="preserve">.</w:t>
                  </w:r>
                  <w:r>
                    <w:t xml:space="preserve">73 [+4</w:t>
                  </w:r>
                  <w:r>
                    <w:t xml:space="preserve">.</w:t>
                  </w:r>
                  <w:r>
                    <w:t xml:space="preserve">94</w:t>
                  </w:r>
                  <w:r>
                    <w:t xml:space="preserve">,</w:t>
                  </w:r>
                  <w:r>
                    <w:t xml:space="preserve">+60</w:t>
                  </w:r>
                  <w:r>
                    <w:t xml:space="preserve">.</w:t>
                  </w:r>
                  <w:r>
                    <w:t xml:space="preserve">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0006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0012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[0</w:t>
                  </w:r>
                  <w:r>
                    <w:t xml:space="preserve">.</w:t>
                  </w:r>
                  <w:r>
                    <w:t xml:space="preserve">0000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+5</w:t>
                  </w:r>
                  <w:r>
                    <w:t xml:space="preserve">.</w:t>
                  </w:r>
                  <w:r>
                    <w:t xml:space="preserve">57 [</w:t>
                  </w:r>
                  <w:r>
                    <w:t xml:space="preserve">−</w:t>
                  </w:r>
                  <w:r>
                    <w:t xml:space="preserve">12</w:t>
                  </w:r>
                  <w:r>
                    <w:t xml:space="preserve">.</w:t>
                  </w:r>
                  <w:r>
                    <w:t xml:space="preserve">44</w:t>
                  </w:r>
                  <w:r>
                    <w:t xml:space="preserve">,</w:t>
                  </w:r>
                  <w:r>
                    <w:t xml:space="preserve">+23</w:t>
                  </w:r>
                  <w:r>
                    <w:t xml:space="preserve">.</w:t>
                  </w:r>
                  <w:r>
                    <w:t xml:space="preserve">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0008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0006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+8</w:t>
                  </w:r>
                  <w:r>
                    <w:t xml:space="preserve">.</w:t>
                  </w:r>
                  <w:r>
                    <w:t xml:space="preserve">36 [</w:t>
                  </w:r>
                  <w:r>
                    <w:t xml:space="preserve">−</w:t>
                  </w:r>
                  <w:r>
                    <w:t xml:space="preserve">5</w:t>
                  </w:r>
                  <w:r>
                    <w:t xml:space="preserve">.</w:t>
                  </w:r>
                  <w:r>
                    <w:t xml:space="preserve">69</w:t>
                  </w:r>
                  <w:r>
                    <w:t xml:space="preserve">,</w:t>
                  </w:r>
                  <w:r>
                    <w:t xml:space="preserve">+22</w:t>
                  </w:r>
                  <w:r>
                    <w:t xml:space="preserve">.</w:t>
                  </w:r>
                  <w:r>
                    <w:t xml:space="preserve">41]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0017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+16</w:t>
                  </w:r>
                  <w:r>
                    <w:t xml:space="preserve">.</w:t>
                  </w:r>
                  <w:r>
                    <w:t xml:space="preserve">71 [</w:t>
                  </w:r>
                  <w:r>
                    <w:t xml:space="preserve">−</w:t>
                  </w:r>
                  <w:r>
                    <w:t xml:space="preserve">3</w:t>
                  </w:r>
                  <w:r>
                    <w:t xml:space="preserve">.</w:t>
                  </w:r>
                  <w:r>
                    <w:t xml:space="preserve">92</w:t>
                  </w:r>
                  <w:r>
                    <w:t xml:space="preserve">,</w:t>
                  </w:r>
                  <w:r>
                    <w:t xml:space="preserve">+37</w:t>
                  </w:r>
                  <w:r>
                    <w:t xml:space="preserve">.</w:t>
                  </w:r>
                  <w:r>
                    <w:t xml:space="preserve">35]</w:t>
                  </w:r>
                </w:p>
              </w:tc>
            </w:tr>
          </w:tbl>
          <w:bookmarkEnd w:id="154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formal scale 3 intervention is a severe stress test, so we repeated the frozen test protocol at</w:t>
      </w:r>
      <w:r>
        <w:t xml:space="preserve"> </w:t>
      </w:r>
      <w:r>
        <w:t xml:space="preserve">scale 1 without refitting endpoints, temperatures, selector coefficients or threshold. Lite-CF</w:t>
      </w:r>
      <w:r>
        <w:t xml:space="preserve"> </w:t>
      </w:r>
      <w:r>
        <w:t xml:space="preserve">then reached 0.8357 macro-AUROC versus 0.8344 for PDRF, prevented 96.0% of negative</w:t>
      </w:r>
      <w:r>
        <w:t xml:space="preserve"> </w:t>
      </w:r>
      <w:r>
        <w:t xml:space="preserve">transfers while retaining 5.3% of corrections and produced equal-cost utility +4</w:t>
      </w:r>
      <w:r>
        <w:t xml:space="preserve">.</w:t>
      </w:r>
      <w:r>
        <w:t xml:space="preserve">00 per 10,000</w:t>
      </w:r>
      <w:r>
        <w:t xml:space="preserve"> </w:t>
      </w:r>
      <w:r>
        <w:t xml:space="preserve">strict observations (Table </w:t>
      </w:r>
      <w:hyperlink w:anchor="X6c0532a4b9b829e209a3508f517ba7ca3f346f7">
        <w:r>
          <w:rPr>
            <w:rStyle w:val="Hyperlink"/>
          </w:rPr>
          <w:t xml:space="preserve">6</w:t>
        </w:r>
      </w:hyperlink>
      <w:r>
        <w:t xml:space="preserve">). Milder corruption improved absolute endpoint performance but</w:t>
      </w:r>
      <w:r>
        <w:t xml:space="preserve"> </w:t>
      </w:r>
      <w:r>
        <w:t xml:space="preserve">left fewer useful recovery opportunities, so safety prevention did not imply greater practical</w:t>
      </w:r>
      <w:r>
        <w:t xml:space="preserve"> </w:t>
      </w:r>
      <w:r>
        <w:t xml:space="preserve">benefit.</w:t>
      </w:r>
    </w:p>
    <w:p>
      <w:pPr>
        <w:pStyle w:val="BodyText"/>
      </w:pPr>
      <w:bookmarkStart w:id="155" w:name="x1-190046"/>
      <w:bookmarkEnd w:id="155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Mild and formal controlled-corruption severity.</w:t>
      </w:r>
      <w:r>
        <w:t xml:space="preserve"> </w:t>
      </w:r>
      <w:r>
        <w:t xml:space="preserve">Values are equal-weight means over</w:t>
      </w:r>
      <w:r>
        <w:t xml:space="preserve"> </w:t>
      </w:r>
      <w:r>
        <w:t xml:space="preserve">four fixed mechanisms and 10 fitted model pairs on the strict subset. The scale 1 audit reuses</w:t>
      </w:r>
      <w:r>
        <w:t xml:space="preserve"> </w:t>
      </w:r>
      <w:r>
        <w:t xml:space="preserve">the scale 3-calibrated selector without refitting or retuning.</w:t>
      </w:r>
      <w:r>
        <w:t xml:space="preserve"> </w:t>
      </w:r>
      <w:r>
        <w:t xml:space="preserve">U∕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equal correction and harm</w:t>
      </w:r>
      <w:r>
        <w:t xml:space="preserve"> </w:t>
      </w:r>
      <w:r>
        <w:t xml:space="preserve">values with no pass penalty.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approximate 2.9</w:t>
      </w:r>
      <w:r>
        <w:t xml:space="preserve"> </w:t>
      </w:r>
      <w:r>
        <w:t xml:space="preserve">break-even ratio is descriptive only for this endpoint pair, event definition and fixed test distribution.</w:t>
      </w:r>
      <w:r>
        <w:t xml:space="preserve"> </w:t>
      </w:r>
      <w:r>
        <w:t xml:space="preserve">Complete-stream utility was negative at 0% and 10% controlled-fault prevalence and positive at 40% and</w:t>
      </w:r>
      <w:r>
        <w:t xml:space="preserve"> </w:t>
      </w:r>
      <w:r>
        <w:t xml:space="preserve">70% under equal event values (Table </w:t>
      </w:r>
      <w:hyperlink w:anchor="Xdfb70ef289e74432f56f164fd717c13eed9008b">
        <w:r>
          <w:rPr>
            <w:rStyle w:val="Hyperlink"/>
          </w:rPr>
          <w:t xml:space="preserve">7</w:t>
        </w:r>
      </w:hyperlink>
      <w:r>
        <w:t xml:space="preserve">). Deployment may use Lite-CF only after fixing the expected</w:t>
      </w:r>
      <w:r>
        <w:t xml:space="preserve"> </w:t>
      </w:r>
      <w:r>
        <w:t xml:space="preserve">fault prevalence, correction value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, harm cost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and compute penalty</w:t>
      </w:r>
      <w:r>
        <w:t xml:space="preserve"> </w:t>
      </w:r>
      <w:r>
        <w:t xml:space="preserve">λ</w:t>
      </w:r>
      <w:r>
        <w:t xml:space="preserve">; energy was not</w:t>
      </w:r>
      <w:r>
        <w:t xml:space="preserve"> </w:t>
      </w:r>
      <w:r>
        <w:t xml:space="preserve">measured.</w:t>
      </w:r>
    </w:p>
    <w:p>
      <w:pPr>
        <w:pStyle w:val="BodyText"/>
      </w:pPr>
      <w:bookmarkStart w:id="157" w:name="x1-190057"/>
      <w:bookmarkEnd w:id="157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Fault-prevalence and pass-cost sensitivity.</w:t>
      </w:r>
      <w:r>
        <w:t xml:space="preserve"> </w:t>
      </w:r>
      <w:r>
        <w:t xml:space="preserve">Values are means across the complete</w:t>
      </w:r>
      <w:r>
        <w:t xml:space="preserve"> </w:t>
      </w:r>
      <w:r>
        <w:t xml:space="preserve">deployment streams at equal correction value and harm cost (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= 1).</w:t>
      </w:r>
      <w:r>
        <w:t xml:space="preserve"> </w:t>
      </w:r>
      <w:r>
        <w:t xml:space="preserve">λ</w:t>
      </w:r>
      <w:r>
        <w:t xml:space="preserve"> </w:t>
      </w:r>
      <w:r>
        <w:t xml:space="preserve">is the cost of one</w:t>
      </w:r>
      <w:r>
        <w:t xml:space="preserve"> </w:t>
      </w:r>
      <w:r>
        <w:t xml:space="preserve">extra forward pass in correction-equivalents per 10,000 observations. These values are descriptive</w:t>
      </w:r>
      <w:r>
        <w:t xml:space="preserve"> </w:t>
      </w:r>
      <w:r>
        <w:t xml:space="preserve">for the present endpoints and controlled test distribution.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8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Corrections/10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Harms/10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λ</w:t>
                  </w:r>
                  <w:r>
                    <w:t xml:space="preserve"> </w:t>
                  </w:r>
                  <w:r>
                    <w:t xml:space="preserve">= 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λ</w:t>
                  </w:r>
                  <w:r>
                    <w:t xml:space="preserve"> </w:t>
                  </w:r>
                  <w:r>
                    <w:t xml:space="preserve">= 0</w:t>
                  </w:r>
                  <w:r>
                    <w:t xml:space="preserve">.</w:t>
                  </w:r>
                  <w:r>
                    <w:t xml:space="preserve">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λ</w:t>
                  </w:r>
                  <w:r>
                    <w:t xml:space="preserve"> </w:t>
                  </w:r>
                  <w:r>
                    <w:t xml:space="preserve">= 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</w:t>
                  </w:r>
                </w:p>
              </w:tc>
            </w:tr>
          </w:tbl>
          <w:bookmarkEnd w:id="158"/>
          <w:p>
            <w:pPr>
              <w:spacing w:before="0" w:after="0" w:line="240" w:lineRule="auto"/>
            </w:pPr>
          </w:p>
        </w:tc>
      </w:tr>
    </w:tbl>
    <w:bookmarkEnd w:id="159"/>
    <w:bookmarkStart w:id="171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60" w:name="x1-200004.2"/>
      <w:bookmarkEnd w:id="160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Across 10 repeated grouped fits per endpoint pair, mean out-of-fold</w:t>
      </w:r>
      <w:r>
        <w:t xml:space="preserve"> </w:t>
      </w:r>
      <w:r>
        <w:t xml:space="preserve">AUROC was 0.720 (standard deviation 0.138; range 0.327–0.954), and thresholds ranged from 0.525 to</w:t>
      </w:r>
      <w:r>
        <w:t xml:space="preserve"> </w:t>
      </w:r>
      <w:r>
        <w:t xml:space="preserve">0.90. Applying the prospective support gate retrospectively, only 5/10 endpoint pairs passed. A</w:t>
      </w:r>
      <w:r>
        <w:t xml:space="preserve"> </w:t>
      </w:r>
      <w:r>
        <w:t xml:space="preserve">descriptive gate-enforced policy therefore used recovery for 31.1% of observations, prevented 96.2% of</w:t>
      </w:r>
      <w:r>
        <w:t xml:space="preserve"> </w:t>
      </w:r>
      <w:r>
        <w:t xml:space="preserve">negative transfers, retained 6.6% of corrections and yielded 0.8132 macro-AUROC. The gate was added</w:t>
      </w:r>
      <w:r>
        <w:t xml:space="preserve"> </w:t>
      </w:r>
      <w:r>
        <w:t xml:space="preserve">after review and does not replace the frozen headline estimand; it demonstrates how unsupported fits</w:t>
      </w:r>
      <w:r>
        <w:t xml:space="preserve"> </w:t>
      </w:r>
      <w:r>
        <w:t xml:space="preserve">would revert to PDRF.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and shallow tree did not dominate Lite-CF. Legacy Full-endpoint</w:t>
      </w:r>
      <w:r>
        <w:t xml:space="preserve"> </w:t>
      </w:r>
      <w:r>
        <w:t xml:space="preserve">transport, staged-cascade, scalar-rule and correctness-opportunity comparisons likewise exposed</w:t>
      </w:r>
      <w:r>
        <w:t xml:space="preserve"> </w:t>
      </w:r>
      <w:r>
        <w:t xml:space="preserve">unresolved trade-offs among safety, recovery, ranking and compute. Their complete estimands and</w:t>
      </w:r>
      <w:r>
        <w:t xml:space="preserve"> </w:t>
      </w:r>
      <w:r>
        <w:t xml:space="preserve">tables are moved to the Supplementary Information so that the primary chain remains the</w:t>
      </w:r>
      <w:r>
        <w:t xml:space="preserve"> </w:t>
      </w:r>
      <w:r>
        <w:t xml:space="preserve">PDRF–RO-PDRF-Lite–Lite-CF comparison.</w:t>
      </w:r>
    </w:p>
    <w:bookmarkStart w:id="165" w:name="x1-200013"/>
    <w:p>
      <w:pPr>
        <w:jc w:val="center"/>
      </w:pPr>
      <w:r>
        <w:drawing>
          <wp:inline>
            <wp:extent cx="5715000" cy="429795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Primary safety, mechanism and calibration evidence. a</w:t>
      </w:r>
      <w:r>
        <w:t xml:space="preserve">, negative-transfer</w:t>
      </w:r>
      <w:r>
        <w:t xml:space="preserve"> </w:t>
      </w:r>
      <w:r>
        <w:t xml:space="preserve">prevention versus recovery retention for PDRF, unconditional RO-PDRF-Lite and Lite-CF on the</w:t>
      </w:r>
      <w:r>
        <w:t xml:space="preserve"> </w:t>
      </w:r>
      <w:r>
        <w:t xml:space="preserve">strict subset; marker area scales with mean forward passes.</w:t>
      </w:r>
      <w:r>
        <w:t xml:space="preserve"> </w:t>
      </w:r>
      <w:r>
        <w:t xml:space="preserve">b</w:t>
      </w:r>
      <w:r>
        <w:t xml:space="preserve">, Lite-CF minus PDRF macro-AUROC</w:t>
      </w:r>
      <w:r>
        <w:t xml:space="preserve"> </w:t>
      </w:r>
      <w:r>
        <w:t xml:space="preserve">with each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 on the present fixed test set.</w:t>
      </w:r>
      <w:r>
        <w:t xml:space="preserve"> </w:t>
      </w:r>
      <w:r>
        <w:t xml:space="preserve">c</w:t>
      </w:r>
      <w:r>
        <w:t xml:space="preserve">, net utility per 10,000 strict observations with</w:t>
      </w:r>
      <w:r>
        <w:t xml:space="preserve"> </w:t>
      </w:r>
      <w:r>
        <w:t xml:space="preserve">λ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 </w:t>
      </w:r>
      <w:r>
        <w:t xml:space="preserve">correction-equivalents per 10,000 for each extra pass; the inset enlarges the PDRF–Lite-CF range</w:t>
      </w:r>
      <w:r>
        <w:t xml:space="preserve"> </w:t>
      </w:r>
      <w:r>
        <w:t xml:space="preserve">hidden by unconditional recovery at high harm cost.</w:t>
      </w:r>
      <w:r>
        <w:t xml:space="preserve"> </w:t>
      </w:r>
      <w:r>
        <w:t xml:space="preserve">d</w:t>
      </w:r>
      <w:r>
        <w:t xml:space="preserve">, repeated calibration-group subsampling;</w:t>
      </w:r>
      <w:r>
        <w:t xml:space="preserve"> </w:t>
      </w:r>
      <w:r>
        <w:t xml:space="preserve">bars show 95% intervals over seed–repeat summaries.</w:t>
      </w:r>
    </w:p>
    <w:bookmarkEnd w:id="165"/>
    <w:bookmarkStart w:id="170" w:name="x1-200024"/>
    <w:p>
      <w:pPr>
        <w:jc w:val="center"/>
      </w:pPr>
      <w:r>
        <w:drawing>
          <wp:inline>
            <wp:extent cx="5715000" cy="4692683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seed-wise out-of-fold preference</w:t>
      </w:r>
      <w:r>
        <w:t xml:space="preserve"> </w:t>
      </w:r>
      <w:r>
        <w:t xml:space="preserve">AUROC and threshold distributions across 100 repeated grouped fits.</w:t>
      </w:r>
      <w:r>
        <w:t xml:space="preserve"> </w:t>
      </w:r>
      <w:r>
        <w:t xml:space="preserve">b</w:t>
      </w:r>
      <w:r>
        <w:t xml:space="preserve">, median standardized</w:t>
      </w:r>
      <w:r>
        <w:t xml:space="preserve"> </w:t>
      </w:r>
      <w:r>
        <w:t xml:space="preserve">Lite-CF coefficient with interquartile range; percentages are dominant-sign frequencies.</w:t>
      </w:r>
      <w:r>
        <w:t xml:space="preserve"> </w:t>
      </w:r>
      <w:r>
        <w:t xml:space="preserve">c</w:t>
      </w:r>
      <w:r>
        <w:t xml:space="preserve">, reliability</w:t>
      </w:r>
      <w:r>
        <w:t xml:space="preserve"> </w:t>
      </w:r>
      <w:r>
        <w:t xml:space="preserve">curves lie predominantly below the identity line, showing substantial overconfidence for all</w:t>
      </w:r>
      <w:r>
        <w:t xml:space="preserve"> </w:t>
      </w:r>
      <w:r>
        <w:t xml:space="preserve">three outputs.</w:t>
      </w:r>
      <w:r>
        <w:t xml:space="preserve"> </w:t>
      </w:r>
      <w:r>
        <w:t xml:space="preserve">d</w:t>
      </w:r>
      <w:r>
        <w:t xml:space="preserve">, negative log-likelihood and 15-bin expected calibration error after separating</w:t>
      </w:r>
      <w:r>
        <w:t xml:space="preserve"> </w:t>
      </w:r>
      <w:r>
        <w:t xml:space="preserve">endpoint-class agreement from disagreement. Lite-CF emits one temperature-scaled endpoint</w:t>
      </w:r>
      <w:r>
        <w:t xml:space="preserve"> </w:t>
      </w:r>
      <w:r>
        <w:t xml:space="preserve">vector, not a mixture; no post-routing recalibration is fitted.</w:t>
      </w:r>
    </w:p>
    <w:bookmarkEnd w:id="170"/>
    <w:bookmarkEnd w:id="171"/>
    <w:bookmarkStart w:id="175" w:name="hydraulic-singlerig-sensitivity-boundary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72" w:name="x1-210004.3"/>
      <w:bookmarkEnd w:id="172"/>
      <w:r>
        <w:t xml:space="preserve">Hydraulic single-rig sensitivity boundary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45e500bf76319deafd380e83f5a256d74d47ef3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3" w:name="x1-210018"/>
      <w:bookmarkEnd w:id="173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Hydraulic single-rig sensitivity analysis.</w:t>
      </w:r>
      <w:r>
        <w:t xml:space="preserve"> </w:t>
      </w:r>
      <w:r>
        <w:t xml:space="preserve">Guarded-block affected-subset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five</w:t>
      </w:r>
      <w:r>
        <w:t xml:space="preserve"> </w:t>
      </w:r>
      <w:r>
        <w:t xml:space="preserve">matched seeds. The eight task–fault rows are conditions from one rig, not independent devices; the</w:t>
      </w:r>
      <w:r>
        <w:t xml:space="preserve"> </w:t>
      </w:r>
      <w:r>
        <w:t xml:space="preserve">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4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74"/>
          <w:p>
            <w:pPr>
              <w:spacing w:before="0" w:after="0" w:line="240" w:lineRule="auto"/>
            </w:pPr>
          </w:p>
        </w:tc>
      </w:tr>
    </w:tbl>
    <w:bookmarkEnd w:id="175"/>
    <w:bookmarkStart w:id="177" w:name="ahu-directdiagnosis-boundary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6" w:name="x1-220004.4"/>
      <w:bookmarkEnd w:id="176"/>
      <w:r>
        <w:t xml:space="preserve">AHU direct-diagnosis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77"/>
    <w:bookmarkStart w:id="179" w:name="X0d59b414ce33ee4eed3884dd7ba6ae64d3cb47d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8" w:name="x1-230004.5"/>
      <w:bookmarkEnd w:id="178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residual-harm rate.</w:t>
      </w:r>
      <w:r>
        <w:t xml:space="preserve"> </w:t>
      </w:r>
      <w:r>
        <w:t xml:space="preserve">Reliability curves lay predominantly below the identity line, indicating substantial overconfidence for all</w:t>
      </w:r>
      <w:r>
        <w:t xml:space="preserve"> </w:t>
      </w:r>
      <w:r>
        <w:t xml:space="preserve">methods. On strict endpoint-class agreements, Lite-CF NLL/ECE were 2.667/0.342, between PDRF</w:t>
      </w:r>
      <w:r>
        <w:t xml:space="preserve"> </w:t>
      </w:r>
      <w:r>
        <w:t xml:space="preserve">(2.821/0.349) and RO-PDRF-Lite (2.601/0.342). On disagreements, Lite-CF NLL/ECE were 2.813/0.344;</w:t>
      </w:r>
      <w:r>
        <w:t xml:space="preserve"> </w:t>
      </w:r>
      <w:r>
        <w:t xml:space="preserve">unconditional Lite was better at 2.616/0.207, whereas PDRF was worse at 2.869/0.376. The software can</w:t>
      </w:r>
      <w:r>
        <w:t xml:space="preserve"> </w:t>
      </w:r>
      <w:r>
        <w:t xml:space="preserve">expose the selected endpoint identity and conditional preference score with each probability vector.</w:t>
      </w:r>
      <w:r>
        <w:t xml:space="preserve"> </w:t>
      </w:r>
      <w:r>
        <w:t xml:space="preserve">Downstream controllers should therefore treat confidence as endpoint-specific, not as one</w:t>
      </w:r>
      <w:r>
        <w:t xml:space="preserve"> </w:t>
      </w:r>
      <w:r>
        <w:t xml:space="preserve">globally calibrated routed probability (Fig. </w:t>
      </w:r>
      <w:hyperlink w:anchor="Xc9daf1393e3dfc631a7752a51526270a58f0726">
        <w:r>
          <w:rPr>
            <w:rStyle w:val="Hyperlink"/>
          </w:rPr>
          <w:t xml:space="preserve">4</w:t>
        </w:r>
      </w:hyperlink>
      <w:r>
        <w:t xml:space="preserve">c,d). Post-routing recalibration remains future</w:t>
      </w:r>
      <w:r>
        <w:t xml:space="preserve"> </w:t>
      </w:r>
      <w:r>
        <w:t xml:space="preserve">work.</w:t>
      </w:r>
    </w:p>
    <w:bookmarkEnd w:id="179"/>
    <w:bookmarkStart w:id="181" w:name="X06e9141e69ca33f8471b1bc161091592260460b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80" w:name="x1-240004.6"/>
      <w:bookmarkEnd w:id="180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parameters and 38,528 counted</w:t>
      </w:r>
      <w:r>
        <w:t xml:space="preserve"> </w:t>
      </w:r>
      <w:r>
        <w:t xml:space="preserve">linear-layer FLOPs per observation. Lite-CF requires two passes, 39,487 parameters and 77,056</w:t>
      </w:r>
      <w:r>
        <w:t xml:space="preserve"> </w:t>
      </w:r>
      <w:r>
        <w:t xml:space="preserve">endpoint FLOPs. With 12 intra-op threads, mean seed-level median batch-one latencies were</w:t>
      </w:r>
      <w:r>
        <w:t xml:space="preserve"> </w:t>
      </w:r>
      <w:r>
        <w:t xml:space="preserve">0</w:t>
      </w:r>
      <w:r>
        <w:t xml:space="preserve">.</w:t>
      </w:r>
      <w:r>
        <w:t xml:space="preserve">602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263 ms for PDRF, 0</w:t>
      </w:r>
      <w:r>
        <w:t xml:space="preserve">.</w:t>
      </w:r>
      <w:r>
        <w:t xml:space="preserve">589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258 ms for RO-PDRF-Lite and 2</w:t>
      </w:r>
      <w:r>
        <w:t xml:space="preserve">.</w:t>
      </w:r>
      <w:r>
        <w:t xml:space="preserve">471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865 ms for Lite-CF;</w:t>
      </w:r>
      <w:r>
        <w:t xml:space="preserve"> </w:t>
      </w:r>
      <w:r>
        <w:t xml:space="preserve">complete-batch latencies were 4</w:t>
      </w:r>
      <w:r>
        <w:t xml:space="preserve">.</w:t>
      </w:r>
      <w:r>
        <w:t xml:space="preserve">12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73, 3</w:t>
      </w:r>
      <w:r>
        <w:t xml:space="preserve">.</w:t>
      </w:r>
      <w:r>
        <w:t xml:space="preserve">65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66 and 10</w:t>
      </w:r>
      <w:r>
        <w:t xml:space="preserve">.</w:t>
      </w:r>
      <w:r>
        <w:t xml:space="preserve">21</w:t>
      </w:r>
      <w:r>
        <w:t xml:space="preserve"> </w:t>
      </w:r>
      <w:r>
        <w:t xml:space="preserve">±</w:t>
      </w:r>
      <w:r>
        <w:t xml:space="preserve"> </w:t>
      </w:r>
      <w:r>
        <w:t xml:space="preserve">2</w:t>
      </w:r>
      <w:r>
        <w:t xml:space="preserve">.</w:t>
      </w:r>
      <w:r>
        <w:t xml:space="preserve">09 ms. At one intra-op thread, the</w:t>
      </w:r>
      <w:r>
        <w:t xml:space="preserve"> </w:t>
      </w:r>
      <w:r>
        <w:t xml:space="preserve">corresponding batch-one values were 0</w:t>
      </w:r>
      <w:r>
        <w:t xml:space="preserve">.</w:t>
      </w:r>
      <w:r>
        <w:t xml:space="preserve">273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090, 0</w:t>
      </w:r>
      <w:r>
        <w:t xml:space="preserve">.</w:t>
      </w:r>
      <w:r>
        <w:t xml:space="preserve">252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068 and 1</w:t>
      </w:r>
      <w:r>
        <w:t xml:space="preserve">.</w:t>
      </w:r>
      <w:r>
        <w:t xml:space="preserve">553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447 ms, and</w:t>
      </w:r>
      <w:r>
        <w:t xml:space="preserve"> </w:t>
      </w:r>
      <w:r>
        <w:t xml:space="preserve">complete-batch values were 9</w:t>
      </w:r>
      <w:r>
        <w:t xml:space="preserve">.</w:t>
      </w:r>
      <w:r>
        <w:t xml:space="preserve">35</w:t>
      </w:r>
      <w:r>
        <w:t xml:space="preserve"> </w:t>
      </w:r>
      <w:r>
        <w:t xml:space="preserve">±</w:t>
      </w:r>
      <w:r>
        <w:t xml:space="preserve"> </w:t>
      </w:r>
      <w:r>
        <w:t xml:space="preserve">1</w:t>
      </w:r>
      <w:r>
        <w:t xml:space="preserve">.</w:t>
      </w:r>
      <w:r>
        <w:t xml:space="preserve">77, 5</w:t>
      </w:r>
      <w:r>
        <w:t xml:space="preserve">.</w:t>
      </w:r>
      <w:r>
        <w:t xml:space="preserve">17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58 and 11</w:t>
      </w:r>
      <w:r>
        <w:t xml:space="preserve">.</w:t>
      </w:r>
      <w:r>
        <w:t xml:space="preserve">60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81 ms. All measurements used</w:t>
      </w:r>
      <w:r>
        <w:t xml:space="preserve"> </w:t>
      </w:r>
      <w:r>
        <w:t xml:space="preserve">the same Intel Core i5-13500H, PyTorch 2.12.1+cpu, three warm-ups and seven timed calls,</w:t>
      </w:r>
      <w:r>
        <w:t xml:space="preserve"> </w:t>
      </w:r>
      <w:r>
        <w:t xml:space="preserve">excluding loading. They do not establish embedded latency, energy efficiency or real-time</w:t>
      </w:r>
      <w:r>
        <w:t xml:space="preserve"> </w:t>
      </w:r>
      <w:r>
        <w:t xml:space="preserve">readiness.</w:t>
      </w:r>
    </w:p>
    <w:bookmarkEnd w:id="181"/>
    <w:bookmarkEnd w:id="182"/>
    <w:bookmarkStart w:id="184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3" w:name="x1-250005"/>
      <w:bookmarkEnd w:id="183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a risk-control protocol, not a universal fusion architecture. It distinguishes fault</w:t>
      </w:r>
      <w:r>
        <w:t xml:space="preserve"> </w:t>
      </w:r>
      <w:r>
        <w:t xml:space="preserve">assignment from an intervention that reaches an available group, measures correction and error transfer,</w:t>
      </w:r>
      <w:r>
        <w:t xml:space="preserve"> </w:t>
      </w:r>
      <w:r>
        <w:t xml:space="preserve">and freezes routing before test evaluation.</w:t>
      </w:r>
    </w:p>
    <w:p>
      <w:pPr>
        <w:pStyle w:val="BodyText"/>
      </w:pPr>
      <w:r>
        <w:t xml:space="preserve">Cross-fitting addresses threshold leakage, not sparse-event estimation. Only 89.7 correctness</w:t>
      </w:r>
      <w:r>
        <w:t xml:space="preserve"> </w:t>
      </w:r>
      <w:r>
        <w:t xml:space="preserve">disagreements informed each selector on average, and repeated fits exposed unstable discrimination,</w:t>
      </w:r>
      <w:r>
        <w:t xml:space="preserve"> </w:t>
      </w:r>
      <w:r>
        <w:t xml:space="preserve">thresholds and entropy coefficients. The prospective event, AUROC and threshold-stability</w:t>
      </w:r>
      <w:r>
        <w:t xml:space="preserve"> </w:t>
      </w:r>
      <w:r>
        <w:t xml:space="preserve">gate accepted only 5/10 endpoint pairs. Unsupported sites must use PDRF while collecting</w:t>
      </w:r>
      <w:r>
        <w:t xml:space="preserve"> </w:t>
      </w:r>
      <w:r>
        <w:t xml:space="preserve">new calibration evidence. Neither coefficients nor thresholds should transfer between fitted</w:t>
      </w:r>
      <w:r>
        <w:t xml:space="preserve"> </w:t>
      </w:r>
      <w:r>
        <w:t xml:space="preserve">deployments.</w:t>
      </w:r>
    </w:p>
    <w:p>
      <w:pPr>
        <w:pStyle w:val="BodyText"/>
      </w:pPr>
      <w:r>
        <w:t xml:space="preserve">The safety–recovery trade-off remains substantial. Lite-CF prevented 94.7% of negative transfers while</w:t>
      </w:r>
      <w:r>
        <w:t xml:space="preserve"> </w:t>
      </w:r>
      <w:r>
        <w:t xml:space="preserve">retaining only 9.7% of corrections. Its 52.2% recovery endpoint selection rate is larger because selection</w:t>
      </w:r>
      <w:r>
        <w:t xml:space="preserve"> </w:t>
      </w:r>
      <w:r>
        <w:t xml:space="preserve">uses all observations, whereas retention uses rare correction opportunities. At scale 1, prevention rose to</w:t>
      </w:r>
      <w:r>
        <w:t xml:space="preserve"> </w:t>
      </w:r>
      <w:r>
        <w:t xml:space="preserve">96.0% but retention fell to 5.3% and equal-cost utility to +4</w:t>
      </w:r>
      <w:r>
        <w:t xml:space="preserve">.</w:t>
      </w:r>
      <w:r>
        <w:t xml:space="preserve">00 per 10,000. Complete-stream utility was</w:t>
      </w:r>
      <w:r>
        <w:t xml:space="preserve"> </w:t>
      </w:r>
      <w:r>
        <w:t xml:space="preserve">negative at 0% and 10% fault prevalence, and the strict preference reversed above the descriptive 2.9</w:t>
      </w:r>
      <w:r>
        <w:t xml:space="preserve"> </w:t>
      </w:r>
      <w:r>
        <w:t xml:space="preserve">harm-to-correction ratio. Deployment therefore requires externally fixed prevalence, event values and</w:t>
      </w:r>
      <w:r>
        <w:t xml:space="preserve"> </w:t>
      </w:r>
      <w:r>
        <w:t xml:space="preserve">compute cost.</w:t>
      </w:r>
    </w:p>
    <w:p>
      <w:pPr>
        <w:pStyle w:val="BodyText"/>
      </w:pPr>
      <w:r>
        <w:t xml:space="preserve">The two-pass design avoids leave-one-group-out inference but stores and evaluates two models. Fixed</w:t>
      </w:r>
      <w:r>
        <w:t xml:space="preserve"> </w:t>
      </w:r>
      <w:r>
        <w:t xml:space="preserve">1-thread and 12-thread measurements confirmed additional batch-one latency. Workstation values do not</w:t>
      </w:r>
      <w:r>
        <w:t xml:space="preserve"> </w:t>
      </w:r>
      <w:r>
        <w:t xml:space="preserve">establish embedded latency, memory-bandwidth adequacy, energy use or real-time readiness, so the utility</w:t>
      </w:r>
      <w:r>
        <w:t xml:space="preserve"> </w:t>
      </w:r>
      <w:r>
        <w:t xml:space="preserve">analysis retains explicit pass and FLOP proxies.</w:t>
      </w:r>
    </w:p>
    <w:p>
      <w:pPr>
        <w:pStyle w:val="BodyText"/>
      </w:pPr>
      <w:r>
        <w:t xml:space="preserve">Mechanism-fixed and batch-fixed intervals replace the four-mechanism population bootstrap. Gaussian</w:t>
      </w:r>
      <w:r>
        <w:t xml:space="preserve"> </w:t>
      </w:r>
      <w:r>
        <w:t xml:space="preserve">differences were positive across fitted pairs on the present fixed test set; several offset, drift and stuck-at</w:t>
      </w:r>
      <w:r>
        <w:t xml:space="preserve"> </w:t>
      </w:r>
      <w:r>
        <w:t xml:space="preserve">hard-decision intervals crossed zero. All intervals reuse one instrument and the same observations. They</w:t>
      </w:r>
      <w:r>
        <w:t xml:space="preserve"> </w:t>
      </w:r>
      <w:r>
        <w:t xml:space="preserve">quantify fitting variation, not sampling from devices or natural faults. Scale 3 is also a severe standardized</w:t>
      </w:r>
      <w:r>
        <w:t xml:space="preserve"> </w:t>
      </w:r>
      <w:r>
        <w:t xml:space="preserve">stress test, while scale 1 shows that milder corruption does not automatically increase routing</w:t>
      </w:r>
      <w:r>
        <w:t xml:space="preserve"> </w:t>
      </w:r>
      <w:r>
        <w:t xml:space="preserve">utility.</w:t>
      </w:r>
    </w:p>
    <w:p>
      <w:pPr>
        <w:pStyle w:val="BodyText"/>
      </w:pPr>
      <w:r>
        <w:t xml:space="preserve">Transfer tests define boundaries rather than confirm field recovery. The hydraulic result is single-rig</w:t>
      </w:r>
      <w:r>
        <w:t xml:space="preserve"> </w:t>
      </w:r>
      <w:r>
        <w:t xml:space="preserve">sensitivity, and its guarded architecture interval crosses zero. The AHU target is the sensor fault itself, so</w:t>
      </w:r>
      <w:r>
        <w:t xml:space="preserve"> </w:t>
      </w:r>
      <w:r>
        <w:t xml:space="preserve">diagnosis may reward signatures that recovery suppresses. A prospective study must include multiple</w:t>
      </w:r>
      <w:r>
        <w:t xml:space="preserve"> </w:t>
      </w:r>
      <w:r>
        <w:t xml:space="preserve">independently operated devices, maintenance-adjudicated sensor failures and downstream</w:t>
      </w:r>
      <w:r>
        <w:t xml:space="preserve"> </w:t>
      </w:r>
      <w:r>
        <w:t xml:space="preserve">targets that do not encode those failures. Endpoint fitting and site-specific calibration must</w:t>
      </w:r>
      <w:r>
        <w:t xml:space="preserve"> </w:t>
      </w:r>
      <w:r>
        <w:t xml:space="preserve">precede outcome analysis, with the support gate, PDRF fallback and utility values frozen in</w:t>
      </w:r>
      <w:r>
        <w:t xml:space="preserve"> </w:t>
      </w:r>
      <w:r>
        <w:t xml:space="preserve">advance.</w:t>
      </w:r>
    </w:p>
    <w:p>
      <w:pPr>
        <w:pStyle w:val="BodyText"/>
      </w:pPr>
      <w:r>
        <w:t xml:space="preserve">Further boundaries remain. Routed probabilities are overconfident and endpoint-specific; no tested</w:t>
      </w:r>
      <w:r>
        <w:t xml:space="preserve"> </w:t>
      </w:r>
      <w:r>
        <w:t xml:space="preserve">output dominates safety, ranking and calibration. Response saturation prevents device-health</w:t>
      </w:r>
      <w:r>
        <w:t xml:space="preserve"> </w:t>
      </w:r>
      <w:r>
        <w:t xml:space="preserve">interpretation, and erroneous clean teachers or quality metadata can transfer errors. Evidence</w:t>
      </w:r>
      <w:r>
        <w:t xml:space="preserve"> </w:t>
      </w:r>
      <w:r>
        <w:t xml:space="preserve">remains limited to controlled feature corruption, one chemical instrument, one hydraulic rig and</w:t>
      </w:r>
      <w:r>
        <w:t xml:space="preserve"> </w:t>
      </w:r>
      <w:r>
        <w:t xml:space="preserve">expert/rule-based AHU labels. Multi-device prospective evaluation is required before field-recovery</w:t>
      </w:r>
      <w:r>
        <w:t xml:space="preserve"> </w:t>
      </w:r>
      <w:r>
        <w:t xml:space="preserve">claims.</w:t>
      </w:r>
    </w:p>
    <w:bookmarkEnd w:id="184"/>
    <w:bookmarkStart w:id="186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85" w:name="x1-260006"/>
      <w:bookmarkEnd w:id="185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Lite-CF prevented 94.7% of negative transfers</w:t>
      </w:r>
      <w:r>
        <w:t xml:space="preserve"> </w:t>
      </w:r>
      <w:r>
        <w:t xml:space="preserve">while retaining 9.7% of corrections; it is a conservative safety layer, not a generally improved classifier.</w:t>
      </w:r>
      <w:r>
        <w:t xml:space="preserve"> </w:t>
      </w:r>
      <w:r>
        <w:t xml:space="preserve">Utility was negative at low complete-stream fault prevalence and remained application-specific. Only 5/10</w:t>
      </w:r>
      <w:r>
        <w:t xml:space="preserve"> </w:t>
      </w:r>
      <w:r>
        <w:t xml:space="preserve">fitted endpoint pairs met the prospective event, discrimination and threshold-stability gate, requiring</w:t>
      </w:r>
      <w:r>
        <w:t xml:space="preserve"> </w:t>
      </w:r>
      <w:r>
        <w:t xml:space="preserve">PDRF fallback for the remainder. Mechanism-fixed and mild-severity audits further showed that benefits</w:t>
      </w:r>
      <w:r>
        <w:t xml:space="preserve"> </w:t>
      </w:r>
      <w:r>
        <w:t xml:space="preserve">were not uniform. Routed probabilities remained endpoint-specific and overconfident. The contribution is</w:t>
      </w:r>
      <w:r>
        <w:t xml:space="preserve"> </w:t>
      </w:r>
      <w:r>
        <w:t xml:space="preserve">a reproducible hard-decision risk-control protocol for controlled available-group corruption,</w:t>
      </w:r>
      <w:r>
        <w:t xml:space="preserve"> </w:t>
      </w:r>
      <w:r>
        <w:t xml:space="preserve">not evidence for calibrated device health, natural-failure recovery or device-independent field</w:t>
      </w:r>
      <w:r>
        <w:t xml:space="preserve"> </w:t>
      </w:r>
      <w:r>
        <w:t xml:space="preserve">performance.</w:t>
      </w:r>
    </w:p>
    <w:bookmarkEnd w:id="186"/>
    <w:bookmarkStart w:id="190" w:name="data-and-code-availability"/>
    <w:p>
      <w:pPr>
        <w:pStyle w:val="Heading3"/>
      </w:pPr>
      <w:bookmarkStart w:id="187" w:name="x1-27000"/>
      <w:bookmarkEnd w:id="187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88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CEE-CF10-R2-LITE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89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</w:t>
      </w:r>
      <w:r>
        <w:t xml:space="preserve"> </w:t>
      </w:r>
      <w:r>
        <w:t xml:space="preserve">The frozen Strict-88 computational snapshot is commit</w:t>
      </w:r>
      <w:r>
        <w:t xml:space="preserve"> </w:t>
      </w:r>
      <w:r>
        <w:t xml:space="preserve">12a74760d350e934297a9e4be9e44d63a44a0655</w:t>
      </w:r>
      <w:r>
        <w:t xml:space="preserve">;</w:t>
      </w:r>
      <w:r>
        <w:t xml:space="preserve"> </w:t>
      </w:r>
      <w:r>
        <w:t xml:space="preserve">the versioned submission release is</w:t>
      </w:r>
      <w:r>
        <w:t xml:space="preserve"> </w:t>
      </w:r>
      <w:r>
        <w:t xml:space="preserve">v1.3.0-strict88</w:t>
      </w:r>
      <w:r>
        <w:t xml:space="preserve">. Exact dependencies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, and the script-to-result manifest is Supplementary</w:t>
      </w:r>
      <w:r>
        <w:t xml:space="preserve"> </w:t>
      </w:r>
      <w:r>
        <w:t xml:space="preserve">Table S1. A permanent software DOI has not been assigned.</w:t>
      </w:r>
    </w:p>
    <w:bookmarkEnd w:id="190"/>
    <w:bookmarkStart w:id="192" w:name="ethics-statement"/>
    <w:p>
      <w:pPr>
        <w:pStyle w:val="Heading3"/>
      </w:pPr>
      <w:bookmarkStart w:id="191" w:name="x1-28000"/>
      <w:bookmarkEnd w:id="191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2"/>
    <w:bookmarkStart w:id="194" w:name="author-contributions"/>
    <w:p>
      <w:pPr>
        <w:pStyle w:val="Heading3"/>
      </w:pPr>
      <w:bookmarkStart w:id="193" w:name="x1-29000"/>
      <w:bookmarkEnd w:id="193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194"/>
    <w:bookmarkStart w:id="196" w:name="acknowledgements-and-funding"/>
    <w:p>
      <w:pPr>
        <w:pStyle w:val="Heading3"/>
      </w:pPr>
      <w:bookmarkStart w:id="195" w:name="x1-30000"/>
      <w:bookmarkEnd w:id="195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196"/>
    <w:bookmarkStart w:id="198" w:name="declaration-of-interests"/>
    <w:p>
      <w:pPr>
        <w:pStyle w:val="Heading3"/>
      </w:pPr>
      <w:bookmarkStart w:id="197" w:name="x1-31000"/>
      <w:bookmarkEnd w:id="197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198"/>
    <w:bookmarkStart w:id="289" w:name="references"/>
    <w:p>
      <w:pPr>
        <w:pStyle w:val="Heading3"/>
      </w:pPr>
      <w:bookmarkStart w:id="199" w:name="x1-32000"/>
      <w:bookmarkEnd w:id="199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0" w:name="Xliu2025deployment"/>
      <w:bookmarkEnd w:id="200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1" w:name="Xchakraborti2025personalized"/>
      <w:bookmarkEnd w:id="201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2" w:name="Xmitra2023structured"/>
      <w:bookmarkEnd w:id="202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3" w:name="Xwu2026survey"/>
      <w:bookmarkEnd w:id="203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04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05" w:name="Xneverova2016moddrop"/>
      <w:bookmarkEnd w:id="205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06" w:name="Xli2024umdf"/>
      <w:bookmarkEnd w:id="206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07" w:name="Xwoo2023practices"/>
      <w:bookmarkEnd w:id="207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08" w:name="Xwang2024gradient"/>
      <w:bookmarkEnd w:id="208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09" w:name="Xmckinzie2023mismatch"/>
      <w:bookmarkEnd w:id="209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0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1" w:name="Xyao2024drfuse"/>
      <w:bookmarkEnd w:id="211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2" w:name="Xhuang2025mgr"/>
      <w:bookmarkEnd w:id="212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3" w:name="Xgao2024aleatoric"/>
      <w:bookmarkEnd w:id="213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14" w:name="Xcho2025cocoon"/>
      <w:bookmarkEnd w:id="214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15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16" w:name="Xpark2025mome"/>
      <w:bookmarkEnd w:id="216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17" w:name="Xsidheekh2025credibility"/>
      <w:bookmarkEnd w:id="217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18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19" w:name="Xliu2025rejection"/>
      <w:bookmarkEnd w:id="219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0" w:name="Xrabanser2025selective"/>
      <w:bookmarkEnd w:id="220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2" w:name="Xzhang2023qmf"/>
      <w:bookmarkEnd w:id="222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3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24" w:name="Xkullaa2011distinguishing"/>
      <w:bookmarkEnd w:id="224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25" w:name="Xkullaa2013sensor"/>
      <w:bookmarkEnd w:id="225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26" w:name="Xhelwig2015sensorfault"/>
      <w:bookmarkEnd w:id="226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27" w:name="Xhelwig2015condition"/>
      <w:bookmarkEnd w:id="227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28" w:name="Xma2021multirate"/>
      <w:bookmarkEnd w:id="228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29" w:name="Xkeleko2023hydraulic"/>
      <w:bookmarkEnd w:id="229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0" w:name="Xyildirim2025hydraulic"/>
      <w:bookmarkEnd w:id="230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1" w:name="Xwang2025ahuoperational"/>
      <w:bookmarkEnd w:id="231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2" w:name="Xwang2024ahudataset"/>
      <w:bookmarkEnd w:id="232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3" w:name="Xwang2025ahutransformer"/>
      <w:bookmarkEnd w:id="233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34" w:name="Xfeng2024attention"/>
      <w:bookmarkEnd w:id="234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35" w:name="Xwang2026temporal"/>
      <w:bookmarkEnd w:id="235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36" w:name="Xkendall2017uncertainties"/>
      <w:bookmarkEnd w:id="236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37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38" w:name="Xhullermeier2021uncertainty"/>
      <w:bookmarkEnd w:id="238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39" w:name="Xlakshminarayanan2017ensembles"/>
      <w:bookmarkEnd w:id="239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0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1" w:name="Xguo2017calibration"/>
      <w:bookmarkEnd w:id="241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2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3" w:name="Xovadia2019trust"/>
      <w:bookmarkEnd w:id="243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44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45" w:name="Xminderer2021calibration"/>
      <w:bookmarkEnd w:id="245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47" w:name="Xvaicenavicius2019calibration"/>
      <w:bookmarkEnd w:id="247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49" w:name="Xlittle2019missing"/>
      <w:bookmarkEnd w:id="249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0" w:name="Xkull2019dirichlet"/>
      <w:bookmarkEnd w:id="250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1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2" w:name="Xmortier2023classifier"/>
      <w:bookmarkEnd w:id="252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3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54" w:name="Xpodkopaev2021distribution"/>
      <w:bookmarkEnd w:id="254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55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56" w:name="Xsun2016coral"/>
      <w:bookmarkEnd w:id="256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57" w:name="Xsagawa2020groupdro"/>
      <w:bookmarkEnd w:id="257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58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59" w:name="Xmirza2022normalization"/>
      <w:bookmarkEnd w:id="259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0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1" w:name="Xelyaniv2010selective"/>
      <w:bookmarkEnd w:id="261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2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3" w:name="Xgeifman2019selectivenet"/>
      <w:bookmarkEnd w:id="263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64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65" w:name="Xfranc2023reject"/>
      <w:bookmarkEnd w:id="265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66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67" w:name="Xliang2024selective"/>
      <w:bookmarkEnd w:id="267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68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69" w:name="Xmozannar2020defer"/>
      <w:bookmarkEnd w:id="269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1" w:name="Xtailor2024population"/>
      <w:bookmarkEnd w:id="271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2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3" w:name="Xchen2012cascade"/>
      <w:bookmarkEnd w:id="273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74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75" w:name="Xcruz2018dynamic"/>
      <w:bookmarkEnd w:id="275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76" w:name="Xdietterich1998tests"/>
      <w:bookmarkEnd w:id="276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77" w:name="Xdemsar2006statistical"/>
      <w:bookmarkEnd w:id="277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78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79" w:name="Xefron1994bootstrap"/>
      <w:bookmarkEnd w:id="279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0" w:name="Xmcnemar1947correlated"/>
      <w:bookmarkEnd w:id="280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1" w:name="Xsaito2015precision"/>
      <w:bookmarkEnd w:id="281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2" w:name="Xtarvainen2017mean"/>
      <w:bookmarkEnd w:id="282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3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84" w:name="Xyang2021pairwise"/>
      <w:bookmarkEnd w:id="284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85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86" w:name="Xvergara2012dataset"/>
      <w:bookmarkEnd w:id="286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87" w:name="Xvergara2012drift"/>
      <w:bookmarkEnd w:id="287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88" w:name="Xhelwig2018hydraulic"/>
      <w:bookmarkEnd w:id="288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89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88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89" Type="http://schemas.openxmlformats.org/officeDocument/2006/relationships/hyperlink" Target="https://github.com/Corey9999/recovery-supervision-calibrated-fallback" TargetMode="External"/><Relationship Id="rId262" Type="http://schemas.openxmlformats.org/officeDocument/2006/relationships/hyperlink" Target="https://jmlr.org/papers/v11/el-yaniv10a.html" TargetMode="External"/><Relationship Id="rId260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1" Type="http://schemas.openxmlformats.org/officeDocument/2006/relationships/hyperlink" Target="https://openreview.net/forum?id=2wgnepQjyF" TargetMode="External"/><Relationship Id="rId268" Type="http://schemas.openxmlformats.org/officeDocument/2006/relationships/hyperlink" Target="https://openreview.net/forum?id=dmxMGW6J7N" TargetMode="External"/><Relationship Id="rId258" Type="http://schemas.openxmlformats.org/officeDocument/2006/relationships/hyperlink" Target="https://openreview.net/forum?id=ryxGuJrFvS" TargetMode="External"/><Relationship Id="rId204" Type="http://schemas.openxmlformats.org/officeDocument/2006/relationships/hyperlink" Target="https://openreview.net/forum?id=tc7RFcx4hT" TargetMode="External"/><Relationship Id="rId215" Type="http://schemas.openxmlformats.org/officeDocument/2006/relationships/hyperlink" Target="https://proceedings.iclr.cc/paper_files/paper/2025/hash/6580845ce91a748a9bb09cec079aac1d-Abstract-Conference.html" TargetMode="External"/><Relationship Id="rId270" Type="http://schemas.openxmlformats.org/officeDocument/2006/relationships/hyperlink" Target="https://proceedings.mlr.press/v119/mozannar20b.html" TargetMode="External"/><Relationship Id="rId285" Type="http://schemas.openxmlformats.org/officeDocument/2006/relationships/hyperlink" Target="https://proceedings.mlr.press/v130/yang21c.html" TargetMode="External"/><Relationship Id="rId255" Type="http://schemas.openxmlformats.org/officeDocument/2006/relationships/hyperlink" Target="https://proceedings.mlr.press/v161/podkopaev21a.html" TargetMode="External"/><Relationship Id="rId210" Type="http://schemas.openxmlformats.org/officeDocument/2006/relationships/hyperlink" Target="https://proceedings.mlr.press/v202/mckinzie23a.html" TargetMode="External"/><Relationship Id="rId223" Type="http://schemas.openxmlformats.org/officeDocument/2006/relationships/hyperlink" Target="https://proceedings.mlr.press/v202/zhang23ar.html" TargetMode="External"/><Relationship Id="rId253" Type="http://schemas.openxmlformats.org/officeDocument/2006/relationships/hyperlink" Target="https://proceedings.mlr.press/v206/mortier23a.html" TargetMode="External"/><Relationship Id="rId274" Type="http://schemas.openxmlformats.org/officeDocument/2006/relationships/hyperlink" Target="https://proceedings.mlr.press/v22/chen12c.html" TargetMode="External"/><Relationship Id="rId272" Type="http://schemas.openxmlformats.org/officeDocument/2006/relationships/hyperlink" Target="https://proceedings.mlr.press/v238/tailor24a.html" TargetMode="External"/><Relationship Id="rId218" Type="http://schemas.openxmlformats.org/officeDocument/2006/relationships/hyperlink" Target="https://proceedings.mlr.press/v258/sidheekh25a.html" TargetMode="External"/><Relationship Id="rId242" Type="http://schemas.openxmlformats.org/officeDocument/2006/relationships/hyperlink" Target="https://proceedings.mlr.press/v70/guo17a.html" TargetMode="External"/><Relationship Id="rId248" Type="http://schemas.openxmlformats.org/officeDocument/2006/relationships/hyperlink" Target="https://proceedings.mlr.press/v89/vaicenavicius19a.html" TargetMode="External"/><Relationship Id="rId264" Type="http://schemas.openxmlformats.org/officeDocument/2006/relationships/hyperlink" Target="https://proceedings.mlr.press/v97/geifman19a.html" TargetMode="External"/><Relationship Id="rId237" Type="http://schemas.openxmlformats.org/officeDocument/2006/relationships/hyperlink" Target="https://proceedings.neurips.cc/paper/2017/hash/2650d6089a6d640c5e85b2b88265dc2b-Abstract.html" TargetMode="External"/><Relationship Id="rId240" Type="http://schemas.openxmlformats.org/officeDocument/2006/relationships/hyperlink" Target="https://proceedings.neurips.cc/paper/2017/hash/9ef2ed4b7fd2c810847ffa5fa85bce38-Abstract.html" TargetMode="External"/><Relationship Id="rId244" Type="http://schemas.openxmlformats.org/officeDocument/2006/relationships/hyperlink" Target="https://proceedings.neurips.cc/paper/2019/hash/8558cb408c1d76621371888657d2eb1d-Abstract.html" TargetMode="External"/><Relationship Id="rId251" Type="http://schemas.openxmlformats.org/officeDocument/2006/relationships/hyperlink" Target="https://proceedings.neurips.cc/paper/2019/hash/8ca01ea920679a0fe3728441494041b9-Abstract.html" TargetMode="External"/><Relationship Id="rId246" Type="http://schemas.openxmlformats.org/officeDocument/2006/relationships/hyperlink" Target="https://proceedings.neurips.cc/paper/2021/hash/8420d359404024567b5aefda1231af24-Abstract.html" TargetMode="External"/><Relationship Id="rId283" Type="http://schemas.openxmlformats.org/officeDocument/2006/relationships/hyperlink" Target="https://proceedings.neurips.cc/paper_files/paper/2017/hash/68053af2923e00204c3ca7c6a3150cf7-Abstract.html" TargetMode="External"/><Relationship Id="rId266" Type="http://schemas.openxmlformats.org/officeDocument/2006/relationships/hyperlink" Target="https://www.jmlr.org/papers/v24/21-0048.html" TargetMode="External"/><Relationship Id="rId278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88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89" Type="http://schemas.openxmlformats.org/officeDocument/2006/relationships/hyperlink" Target="https://github.com/Corey9999/recovery-supervision-calibrated-fallback" TargetMode="External"/><Relationship Id="rId262" Type="http://schemas.openxmlformats.org/officeDocument/2006/relationships/hyperlink" Target="https://jmlr.org/papers/v11/el-yaniv10a.html" TargetMode="External"/><Relationship Id="rId260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1" Type="http://schemas.openxmlformats.org/officeDocument/2006/relationships/hyperlink" Target="https://openreview.net/forum?id=2wgnepQjyF" TargetMode="External"/><Relationship Id="rId268" Type="http://schemas.openxmlformats.org/officeDocument/2006/relationships/hyperlink" Target="https://openreview.net/forum?id=dmxMGW6J7N" TargetMode="External"/><Relationship Id="rId258" Type="http://schemas.openxmlformats.org/officeDocument/2006/relationships/hyperlink" Target="https://openreview.net/forum?id=ryxGuJrFvS" TargetMode="External"/><Relationship Id="rId204" Type="http://schemas.openxmlformats.org/officeDocument/2006/relationships/hyperlink" Target="https://openreview.net/forum?id=tc7RFcx4hT" TargetMode="External"/><Relationship Id="rId215" Type="http://schemas.openxmlformats.org/officeDocument/2006/relationships/hyperlink" Target="https://proceedings.iclr.cc/paper_files/paper/2025/hash/6580845ce91a748a9bb09cec079aac1d-Abstract-Conference.html" TargetMode="External"/><Relationship Id="rId270" Type="http://schemas.openxmlformats.org/officeDocument/2006/relationships/hyperlink" Target="https://proceedings.mlr.press/v119/mozannar20b.html" TargetMode="External"/><Relationship Id="rId285" Type="http://schemas.openxmlformats.org/officeDocument/2006/relationships/hyperlink" Target="https://proceedings.mlr.press/v130/yang21c.html" TargetMode="External"/><Relationship Id="rId255" Type="http://schemas.openxmlformats.org/officeDocument/2006/relationships/hyperlink" Target="https://proceedings.mlr.press/v161/podkopaev21a.html" TargetMode="External"/><Relationship Id="rId210" Type="http://schemas.openxmlformats.org/officeDocument/2006/relationships/hyperlink" Target="https://proceedings.mlr.press/v202/mckinzie23a.html" TargetMode="External"/><Relationship Id="rId223" Type="http://schemas.openxmlformats.org/officeDocument/2006/relationships/hyperlink" Target="https://proceedings.mlr.press/v202/zhang23ar.html" TargetMode="External"/><Relationship Id="rId253" Type="http://schemas.openxmlformats.org/officeDocument/2006/relationships/hyperlink" Target="https://proceedings.mlr.press/v206/mortier23a.html" TargetMode="External"/><Relationship Id="rId274" Type="http://schemas.openxmlformats.org/officeDocument/2006/relationships/hyperlink" Target="https://proceedings.mlr.press/v22/chen12c.html" TargetMode="External"/><Relationship Id="rId272" Type="http://schemas.openxmlformats.org/officeDocument/2006/relationships/hyperlink" Target="https://proceedings.mlr.press/v238/tailor24a.html" TargetMode="External"/><Relationship Id="rId218" Type="http://schemas.openxmlformats.org/officeDocument/2006/relationships/hyperlink" Target="https://proceedings.mlr.press/v258/sidheekh25a.html" TargetMode="External"/><Relationship Id="rId242" Type="http://schemas.openxmlformats.org/officeDocument/2006/relationships/hyperlink" Target="https://proceedings.mlr.press/v70/guo17a.html" TargetMode="External"/><Relationship Id="rId248" Type="http://schemas.openxmlformats.org/officeDocument/2006/relationships/hyperlink" Target="https://proceedings.mlr.press/v89/vaicenavicius19a.html" TargetMode="External"/><Relationship Id="rId264" Type="http://schemas.openxmlformats.org/officeDocument/2006/relationships/hyperlink" Target="https://proceedings.mlr.press/v97/geifman19a.html" TargetMode="External"/><Relationship Id="rId237" Type="http://schemas.openxmlformats.org/officeDocument/2006/relationships/hyperlink" Target="https://proceedings.neurips.cc/paper/2017/hash/2650d6089a6d640c5e85b2b88265dc2b-Abstract.html" TargetMode="External"/><Relationship Id="rId240" Type="http://schemas.openxmlformats.org/officeDocument/2006/relationships/hyperlink" Target="https://proceedings.neurips.cc/paper/2017/hash/9ef2ed4b7fd2c810847ffa5fa85bce38-Abstract.html" TargetMode="External"/><Relationship Id="rId244" Type="http://schemas.openxmlformats.org/officeDocument/2006/relationships/hyperlink" Target="https://proceedings.neurips.cc/paper/2019/hash/8558cb408c1d76621371888657d2eb1d-Abstract.html" TargetMode="External"/><Relationship Id="rId251" Type="http://schemas.openxmlformats.org/officeDocument/2006/relationships/hyperlink" Target="https://proceedings.neurips.cc/paper/2019/hash/8ca01ea920679a0fe3728441494041b9-Abstract.html" TargetMode="External"/><Relationship Id="rId246" Type="http://schemas.openxmlformats.org/officeDocument/2006/relationships/hyperlink" Target="https://proceedings.neurips.cc/paper/2021/hash/8420d359404024567b5aefda1231af24-Abstract.html" TargetMode="External"/><Relationship Id="rId283" Type="http://schemas.openxmlformats.org/officeDocument/2006/relationships/hyperlink" Target="https://proceedings.neurips.cc/paper_files/paper/2017/hash/68053af2923e00204c3ca7c6a3150cf7-Abstract.html" TargetMode="External"/><Relationship Id="rId266" Type="http://schemas.openxmlformats.org/officeDocument/2006/relationships/hyperlink" Target="https://www.jmlr.org/papers/v24/21-0048.html" TargetMode="External"/><Relationship Id="rId278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2026-07-15T03:59:31Z</dcterms:created>
  <dcterms:modified xsi:type="dcterms:W3CDTF">2026-07-15T03:59:31Z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