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1DE1" w14:textId="77777777" w:rsidR="000F1632" w:rsidRPr="000F1632" w:rsidRDefault="000F1632" w:rsidP="000F1632">
      <w:pPr>
        <w:widowControl/>
        <w:shd w:val="clear" w:color="auto" w:fill="FFFFFF"/>
        <w:spacing w:before="144" w:line="60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0F1632">
        <w:rPr>
          <w:rFonts w:ascii="Helvetica" w:eastAsia="宋体" w:hAnsi="Helvetica" w:cs="Helvetica"/>
          <w:b/>
          <w:bCs/>
          <w:color w:val="292929"/>
          <w:spacing w:val="-4"/>
          <w:kern w:val="36"/>
          <w:sz w:val="48"/>
          <w:szCs w:val="48"/>
        </w:rPr>
        <w:t>Analysis of the Grim Finance Hack</w:t>
      </w:r>
    </w:p>
    <w:p w14:paraId="109C1A5B" w14:textId="7B6E0DF9" w:rsidR="000F1632" w:rsidRPr="000F1632" w:rsidRDefault="000F1632" w:rsidP="000F1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6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18287" wp14:editId="14F7A47D">
            <wp:extent cx="5274310" cy="1761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D1D3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On December 19, 2021, </w:t>
      </w:r>
      <w:proofErr w:type="gram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Our</w:t>
      </w:r>
      <w:proofErr w:type="gram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team at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SlowMist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was notified of a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Reentrancy attack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on the Grim Finance project within the Fantom Blockchain. At the time of writing this, over $30M in funds were transferred to </w:t>
      </w:r>
      <w:hyperlink r:id="rId7" w:tgtFrame="_blank" w:history="1">
        <w:r w:rsidRPr="000F1632">
          <w:rPr>
            <w:rFonts w:ascii="Georgia" w:eastAsia="宋体" w:hAnsi="Georgia" w:cs="宋体"/>
            <w:color w:val="0000FF"/>
            <w:spacing w:val="-1"/>
            <w:kern w:val="0"/>
            <w:sz w:val="30"/>
            <w:szCs w:val="30"/>
            <w:u w:val="single"/>
          </w:rPr>
          <w:t>this</w:t>
        </w:r>
      </w:hyperlink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 address. This attack was investigated by our team, and this is our analysis of the incident.</w:t>
      </w:r>
    </w:p>
    <w:p w14:paraId="0D9D7169" w14:textId="77777777" w:rsidR="000F1632" w:rsidRPr="000F1632" w:rsidRDefault="000F1632" w:rsidP="000F1632">
      <w:pPr>
        <w:widowControl/>
        <w:shd w:val="clear" w:color="auto" w:fill="FFFFFF"/>
        <w:spacing w:before="754" w:line="420" w:lineRule="atLeast"/>
        <w:jc w:val="left"/>
        <w:outlineLvl w:val="0"/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</w:pPr>
      <w:r w:rsidRPr="000F1632">
        <w:rPr>
          <w:rFonts w:ascii="Helvetica" w:eastAsia="宋体" w:hAnsi="Helvetica" w:cs="Helvetica"/>
          <w:b/>
          <w:bCs/>
          <w:color w:val="292929"/>
          <w:kern w:val="36"/>
          <w:sz w:val="33"/>
          <w:szCs w:val="33"/>
        </w:rPr>
        <w:t>Let’s first explain what is a Reentrancy</w:t>
      </w:r>
    </w:p>
    <w:p w14:paraId="6C146FE1" w14:textId="77777777" w:rsidR="000F1632" w:rsidRPr="000F1632" w:rsidRDefault="000F1632" w:rsidP="000F1632">
      <w:pPr>
        <w:widowControl/>
        <w:shd w:val="clear" w:color="auto" w:fill="FFFFFF"/>
        <w:spacing w:before="206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Reentrancy is when a program execution is interrupted mid-operation, re-initiated, and both run completely without any errors in the execution. Here is a quick explanation by </w:t>
      </w:r>
      <w:hyperlink r:id="rId8" w:tgtFrame="_blank" w:history="1">
        <w:r w:rsidRPr="000F1632">
          <w:rPr>
            <w:rFonts w:ascii="Georgia" w:eastAsia="宋体" w:hAnsi="Georgia" w:cs="宋体"/>
            <w:color w:val="0000FF"/>
            <w:spacing w:val="-1"/>
            <w:kern w:val="0"/>
            <w:sz w:val="30"/>
            <w:szCs w:val="30"/>
            <w:u w:val="single"/>
          </w:rPr>
          <w:t>Rugdoc.io</w:t>
        </w:r>
      </w:hyperlink>
    </w:p>
    <w:p w14:paraId="6715076B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 xml:space="preserve">1. The attacker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borrows WFTM and BTC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tokens via a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flash loan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and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adds liquidity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to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Spirit Swap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to obtain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Spirit-LP certificates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2CCA774D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2. The attacker then uses the certificates as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collateral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with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Grim Finance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via the </w:t>
      </w:r>
      <w:proofErr w:type="spellStart"/>
      <w:proofErr w:type="gram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(</w:t>
      </w:r>
      <w:proofErr w:type="gram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) in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GrimBoostVault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contract. The </w:t>
      </w:r>
      <w:proofErr w:type="spellStart"/>
      <w:proofErr w:type="gram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(</w:t>
      </w:r>
      <w:proofErr w:type="gram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) allows users to specify the token to be deposited and transfer the user-specified token into the Grim Boost Vault via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safeTransferFrom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(). This creates collateral for the user based on the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difference between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the contract and the funds received by the policy pool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before and after the transfer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(In this case SPIRIT-LP).</w:t>
      </w:r>
    </w:p>
    <w:p w14:paraId="6E4FA03C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3. However, because the </w:t>
      </w:r>
      <w:proofErr w:type="spellStart"/>
      <w:proofErr w:type="gram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(</w:t>
      </w:r>
      <w:proofErr w:type="gram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) does not check the validity of the funds the user specified, the attacker passes the token contract address. When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GrimBoostVault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calls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transferFrom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 of the malicious contract through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safeTransferFom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function, the contract reinvokes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function. The contract is able to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make multiple reentries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and use it for collateral into the SPIRIT-LP certificates. This ensures the difference between the tokens expected to be received by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GrimBoostVault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before and after the reentry exists.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 then calculates the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>difference and provides the corresponding collateral for the attacker.</w:t>
      </w:r>
    </w:p>
    <w:p w14:paraId="7FC300C6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4. Since the attacker has re-entered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GrimBoostVault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contract many times, this gave them access to more collateral. Allowing them to withdraw more SPIRIT-LP liquidity certificates in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GrimBoostVault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contract than previously provided. The hacker then uses the SPIRIT-LP liquidity certificate to remove liquidity within the pool for WFTM and BTC tokens and repay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flashloan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.</w:t>
      </w:r>
    </w:p>
    <w:p w14:paraId="7701AA2E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This attack was caused by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function of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GrimBoostVault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contract.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It failed to check the validity of the token passed in by the user and did not have a reentrancy guard.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As a result, a smart contract could reenter the </w:t>
      </w:r>
      <w:proofErr w:type="spellStart"/>
      <w:proofErr w:type="gram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depositFor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(</w:t>
      </w:r>
      <w:proofErr w:type="gram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) and obtain far more than the expected collateral. The </w:t>
      </w:r>
      <w:proofErr w:type="spellStart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>SlowMist</w:t>
      </w:r>
      <w:proofErr w:type="spellEnd"/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security team recommends that the 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  <w:highlight w:val="yellow"/>
        </w:rPr>
        <w:t>parameters passed in by users should be checked</w:t>
      </w: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t xml:space="preserve"> to see if they meet expectations, and external calls in functions should be controlled for risks such as reentrancy attacks caused by external calls.</w:t>
      </w:r>
    </w:p>
    <w:p w14:paraId="15EAA977" w14:textId="77777777" w:rsidR="000F1632" w:rsidRPr="000F1632" w:rsidRDefault="000F1632" w:rsidP="000F1632">
      <w:pPr>
        <w:widowControl/>
        <w:shd w:val="clear" w:color="auto" w:fill="FFFFFF"/>
        <w:spacing w:before="480" w:line="480" w:lineRule="atLeast"/>
        <w:jc w:val="left"/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</w:pPr>
      <w:r w:rsidRPr="000F1632">
        <w:rPr>
          <w:rFonts w:ascii="Georgia" w:eastAsia="宋体" w:hAnsi="Georgia" w:cs="宋体"/>
          <w:color w:val="292929"/>
          <w:spacing w:val="-1"/>
          <w:kern w:val="0"/>
          <w:sz w:val="30"/>
          <w:szCs w:val="30"/>
        </w:rPr>
        <w:lastRenderedPageBreak/>
        <w:t>Reference attack deals: </w:t>
      </w:r>
      <w:hyperlink r:id="rId9" w:tgtFrame="_blank" w:history="1">
        <w:r w:rsidRPr="000F1632">
          <w:rPr>
            <w:rFonts w:ascii="Georgia" w:eastAsia="宋体" w:hAnsi="Georgia" w:cs="宋体"/>
            <w:color w:val="0000FF"/>
            <w:spacing w:val="-1"/>
            <w:kern w:val="0"/>
            <w:sz w:val="30"/>
            <w:szCs w:val="30"/>
            <w:u w:val="single"/>
          </w:rPr>
          <w:t>https://ftmscan.com/tx/0x19315e5b150d0a83e797203bb9c957ec1fa8a6f404f4f761d970cb29a74a5dd6</w:t>
        </w:r>
      </w:hyperlink>
    </w:p>
    <w:p w14:paraId="74EDA090" w14:textId="77777777" w:rsidR="00DC1AC8" w:rsidRPr="000F1632" w:rsidRDefault="00DC1AC8"/>
    <w:sectPr w:rsidR="00DC1AC8" w:rsidRPr="000F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38E3" w14:textId="77777777" w:rsidR="00434CE8" w:rsidRDefault="00434CE8" w:rsidP="000F1632">
      <w:r>
        <w:separator/>
      </w:r>
    </w:p>
  </w:endnote>
  <w:endnote w:type="continuationSeparator" w:id="0">
    <w:p w14:paraId="278D7D3D" w14:textId="77777777" w:rsidR="00434CE8" w:rsidRDefault="00434CE8" w:rsidP="000F1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52443" w14:textId="77777777" w:rsidR="00434CE8" w:rsidRDefault="00434CE8" w:rsidP="000F1632">
      <w:r>
        <w:separator/>
      </w:r>
    </w:p>
  </w:footnote>
  <w:footnote w:type="continuationSeparator" w:id="0">
    <w:p w14:paraId="1B68D5A1" w14:textId="77777777" w:rsidR="00434CE8" w:rsidRDefault="00434CE8" w:rsidP="000F1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38"/>
    <w:rsid w:val="000F1632"/>
    <w:rsid w:val="00343638"/>
    <w:rsid w:val="00376403"/>
    <w:rsid w:val="00434CE8"/>
    <w:rsid w:val="00713ED8"/>
    <w:rsid w:val="00B82B5B"/>
    <w:rsid w:val="00BD025E"/>
    <w:rsid w:val="00DC1AC8"/>
    <w:rsid w:val="00E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96E69F-DF11-4D4F-ABEB-47EC852C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16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6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163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0F1632"/>
    <w:rPr>
      <w:b/>
      <w:bCs/>
    </w:rPr>
  </w:style>
  <w:style w:type="paragraph" w:customStyle="1" w:styleId="pw-post-body-paragraph">
    <w:name w:val="pw-post-body-paragraph"/>
    <w:basedOn w:val="a"/>
    <w:rsid w:val="000F1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F1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ugDocIO/status/14722937121851514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mscan.com/address/0xdefc385d7038f391eb0063c2f7c238cfb55b206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tmscan.com/tx/0x19315e5b150d0a83e797203bb9c957ec1fa8a6f404f4f761d970cb29a74a5dd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7</cp:revision>
  <dcterms:created xsi:type="dcterms:W3CDTF">2023-01-11T09:04:00Z</dcterms:created>
  <dcterms:modified xsi:type="dcterms:W3CDTF">2023-01-11T09:27:00Z</dcterms:modified>
</cp:coreProperties>
</file>