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A811" w14:textId="77777777" w:rsidR="00086929" w:rsidRPr="00086929" w:rsidRDefault="00086929" w:rsidP="00086929">
      <w:pPr>
        <w:widowControl/>
        <w:spacing w:line="570" w:lineRule="atLeast"/>
        <w:jc w:val="left"/>
        <w:textAlignment w:val="baseline"/>
        <w:outlineLvl w:val="0"/>
        <w:rPr>
          <w:rFonts w:ascii="Arial" w:eastAsia="宋体" w:hAnsi="Arial" w:cs="Arial"/>
          <w:b/>
          <w:bCs/>
          <w:color w:val="112B4A"/>
          <w:spacing w:val="2"/>
          <w:kern w:val="36"/>
          <w:sz w:val="42"/>
          <w:szCs w:val="42"/>
        </w:rPr>
      </w:pPr>
      <w:r w:rsidRPr="00086929">
        <w:rPr>
          <w:rFonts w:ascii="Arial" w:eastAsia="宋体" w:hAnsi="Arial" w:cs="Arial"/>
          <w:b/>
          <w:bCs/>
          <w:color w:val="112B4A"/>
          <w:spacing w:val="2"/>
          <w:kern w:val="36"/>
          <w:sz w:val="42"/>
          <w:szCs w:val="42"/>
          <w:highlight w:val="yellow"/>
        </w:rPr>
        <w:t>投资组合保证金制度</w:t>
      </w:r>
      <w:r w:rsidRPr="00086929">
        <w:rPr>
          <w:rFonts w:ascii="Arial" w:eastAsia="宋体" w:hAnsi="Arial" w:cs="Arial"/>
          <w:b/>
          <w:bCs/>
          <w:color w:val="112B4A"/>
          <w:spacing w:val="2"/>
          <w:kern w:val="36"/>
          <w:sz w:val="42"/>
          <w:szCs w:val="42"/>
        </w:rPr>
        <w:t>具备明显的</w:t>
      </w:r>
      <w:r w:rsidRPr="00086929">
        <w:rPr>
          <w:rFonts w:ascii="Arial" w:eastAsia="宋体" w:hAnsi="Arial" w:cs="Arial"/>
          <w:b/>
          <w:bCs/>
          <w:color w:val="112B4A"/>
          <w:spacing w:val="2"/>
          <w:kern w:val="36"/>
          <w:sz w:val="42"/>
          <w:szCs w:val="42"/>
          <w:highlight w:val="yellow"/>
        </w:rPr>
        <w:t>资金效率优势</w:t>
      </w:r>
    </w:p>
    <w:p w14:paraId="10947A62" w14:textId="77777777" w:rsidR="00086929" w:rsidRPr="00086929" w:rsidRDefault="00086929" w:rsidP="00086929">
      <w:pPr>
        <w:widowControl/>
        <w:numPr>
          <w:ilvl w:val="0"/>
          <w:numId w:val="1"/>
        </w:numPr>
        <w:spacing w:after="45" w:line="330" w:lineRule="atLeast"/>
        <w:jc w:val="left"/>
        <w:textAlignment w:val="baseline"/>
        <w:rPr>
          <w:rFonts w:ascii="Helvetica" w:eastAsia="宋体" w:hAnsi="Helvetica" w:cs="宋体"/>
          <w:b/>
          <w:bCs/>
          <w:color w:val="5A6874"/>
          <w:kern w:val="0"/>
          <w:sz w:val="20"/>
          <w:szCs w:val="20"/>
        </w:rPr>
      </w:pPr>
      <w:r w:rsidRPr="00086929">
        <w:rPr>
          <w:rFonts w:ascii="Helvetica" w:eastAsia="宋体" w:hAnsi="Helvetica" w:cs="宋体"/>
          <w:b/>
          <w:bCs/>
          <w:color w:val="5A6874"/>
          <w:kern w:val="0"/>
          <w:sz w:val="20"/>
          <w:szCs w:val="20"/>
        </w:rPr>
        <w:t>29 Nov 2016</w:t>
      </w:r>
    </w:p>
    <w:p w14:paraId="2B27ABCA" w14:textId="77777777" w:rsidR="00086929" w:rsidRPr="00086929" w:rsidRDefault="00086929" w:rsidP="00086929">
      <w:pPr>
        <w:widowControl/>
        <w:spacing w:line="330" w:lineRule="atLeast"/>
        <w:ind w:left="720"/>
        <w:jc w:val="left"/>
        <w:textAlignment w:val="baseline"/>
        <w:rPr>
          <w:rFonts w:ascii="Helvetica" w:eastAsia="宋体" w:hAnsi="Helvetica" w:cs="宋体"/>
          <w:color w:val="808080"/>
          <w:kern w:val="0"/>
          <w:szCs w:val="21"/>
        </w:rPr>
      </w:pPr>
      <w:r w:rsidRPr="00086929">
        <w:rPr>
          <w:rFonts w:ascii="Helvetica" w:eastAsia="宋体" w:hAnsi="Helvetica" w:cs="宋体"/>
          <w:color w:val="808080"/>
          <w:kern w:val="0"/>
          <w:szCs w:val="21"/>
        </w:rPr>
        <w:t> </w:t>
      </w:r>
    </w:p>
    <w:p w14:paraId="2BF621FA" w14:textId="77777777" w:rsidR="00086929" w:rsidRPr="00086929" w:rsidRDefault="00086929" w:rsidP="00086929">
      <w:pPr>
        <w:widowControl/>
        <w:numPr>
          <w:ilvl w:val="0"/>
          <w:numId w:val="1"/>
        </w:numPr>
        <w:spacing w:line="330" w:lineRule="atLeast"/>
        <w:ind w:left="870"/>
        <w:jc w:val="left"/>
        <w:textAlignment w:val="baseline"/>
        <w:rPr>
          <w:rFonts w:ascii="Helvetica" w:eastAsia="宋体" w:hAnsi="Helvetica" w:cs="宋体"/>
          <w:color w:val="5A6874"/>
          <w:kern w:val="0"/>
          <w:sz w:val="20"/>
          <w:szCs w:val="20"/>
        </w:rPr>
      </w:pPr>
      <w:r w:rsidRPr="00086929">
        <w:rPr>
          <w:rFonts w:ascii="Helvetica" w:eastAsia="宋体" w:hAnsi="Helvetica" w:cs="宋体"/>
          <w:color w:val="5A6874"/>
          <w:kern w:val="0"/>
          <w:sz w:val="20"/>
          <w:szCs w:val="20"/>
        </w:rPr>
        <w:t>By Futures Daily</w:t>
      </w:r>
    </w:p>
    <w:p w14:paraId="1C823323" w14:textId="77777777" w:rsidR="00086929" w:rsidRPr="00086929" w:rsidRDefault="00086929" w:rsidP="00086929">
      <w:pPr>
        <w:widowControl/>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随着</w:t>
      </w:r>
      <w:proofErr w:type="gramStart"/>
      <w:r w:rsidRPr="00086929">
        <w:rPr>
          <w:rFonts w:ascii="inherit" w:eastAsia="宋体" w:hAnsi="inherit" w:cs="Arial"/>
          <w:color w:val="5A6874"/>
          <w:kern w:val="0"/>
          <w:sz w:val="24"/>
          <w:szCs w:val="24"/>
        </w:rPr>
        <w:t>芝商所利率</w:t>
      </w:r>
      <w:proofErr w:type="gramEnd"/>
      <w:r w:rsidRPr="00086929">
        <w:rPr>
          <w:rFonts w:ascii="inherit" w:eastAsia="宋体" w:hAnsi="inherit" w:cs="Arial"/>
          <w:color w:val="5A6874"/>
          <w:kern w:val="0"/>
          <w:sz w:val="24"/>
          <w:szCs w:val="24"/>
        </w:rPr>
        <w:t>衍生品产品获得越来越多的成功和投资者青睐，</w:t>
      </w:r>
      <w:proofErr w:type="gramStart"/>
      <w:r w:rsidRPr="00086929">
        <w:rPr>
          <w:rFonts w:ascii="inherit" w:eastAsia="宋体" w:hAnsi="inherit" w:cs="Arial"/>
          <w:color w:val="5A6874"/>
          <w:kern w:val="0"/>
          <w:sz w:val="24"/>
          <w:szCs w:val="24"/>
        </w:rPr>
        <w:t>芝商所</w:t>
      </w:r>
      <w:proofErr w:type="gramEnd"/>
      <w:r w:rsidRPr="00086929">
        <w:rPr>
          <w:rFonts w:ascii="inherit" w:eastAsia="宋体" w:hAnsi="inherit" w:cs="Arial"/>
          <w:color w:val="5A6874"/>
          <w:kern w:val="0"/>
          <w:sz w:val="24"/>
          <w:szCs w:val="24"/>
        </w:rPr>
        <w:t>将更多创新推向市场。其中在关于</w:t>
      </w:r>
      <w:r w:rsidRPr="00086929">
        <w:rPr>
          <w:rFonts w:ascii="inherit" w:eastAsia="宋体" w:hAnsi="inherit" w:cs="Arial"/>
          <w:color w:val="5A6874"/>
          <w:kern w:val="0"/>
          <w:sz w:val="24"/>
          <w:szCs w:val="24"/>
        </w:rPr>
        <w:t>EFRP</w:t>
      </w:r>
      <w:r w:rsidRPr="00086929">
        <w:rPr>
          <w:rFonts w:ascii="inherit" w:eastAsia="宋体" w:hAnsi="inherit" w:cs="Arial"/>
          <w:color w:val="5A6874"/>
          <w:kern w:val="0"/>
          <w:sz w:val="24"/>
          <w:szCs w:val="24"/>
        </w:rPr>
        <w:t>的市场监管条例</w:t>
      </w:r>
      <w:r w:rsidRPr="00086929">
        <w:rPr>
          <w:rFonts w:ascii="inherit" w:eastAsia="宋体" w:hAnsi="inherit" w:cs="Arial"/>
          <w:color w:val="5A6874"/>
          <w:kern w:val="0"/>
          <w:sz w:val="24"/>
          <w:szCs w:val="24"/>
        </w:rPr>
        <w:t>538</w:t>
      </w:r>
      <w:r w:rsidRPr="00086929">
        <w:rPr>
          <w:rFonts w:ascii="inherit" w:eastAsia="宋体" w:hAnsi="inherit" w:cs="Arial"/>
          <w:color w:val="5A6874"/>
          <w:kern w:val="0"/>
          <w:sz w:val="24"/>
          <w:szCs w:val="24"/>
        </w:rPr>
        <w:t>号的变更更是放宽了对于</w:t>
      </w:r>
      <w:r w:rsidRPr="00086929">
        <w:rPr>
          <w:rFonts w:ascii="inherit" w:eastAsia="宋体" w:hAnsi="inherit" w:cs="Arial"/>
          <w:color w:val="5A6874"/>
          <w:kern w:val="0"/>
          <w:sz w:val="24"/>
          <w:szCs w:val="24"/>
        </w:rPr>
        <w:t>EFRP</w:t>
      </w:r>
      <w:r w:rsidRPr="00086929">
        <w:rPr>
          <w:rFonts w:ascii="inherit" w:eastAsia="宋体" w:hAnsi="inherit" w:cs="Arial"/>
          <w:color w:val="5A6874"/>
          <w:kern w:val="0"/>
          <w:sz w:val="24"/>
          <w:szCs w:val="24"/>
        </w:rPr>
        <w:t>适用范围和适用的产品。</w:t>
      </w:r>
      <w:r w:rsidRPr="00086929">
        <w:rPr>
          <w:rFonts w:ascii="inherit" w:eastAsia="宋体" w:hAnsi="inherit" w:cs="Arial"/>
          <w:color w:val="5A6874"/>
          <w:kern w:val="0"/>
          <w:sz w:val="24"/>
          <w:szCs w:val="24"/>
        </w:rPr>
        <w:t>10</w:t>
      </w:r>
      <w:r w:rsidRPr="00086929">
        <w:rPr>
          <w:rFonts w:ascii="inherit" w:eastAsia="宋体" w:hAnsi="inherit" w:cs="Arial"/>
          <w:color w:val="5A6874"/>
          <w:kern w:val="0"/>
          <w:sz w:val="24"/>
          <w:szCs w:val="24"/>
        </w:rPr>
        <w:t>月</w:t>
      </w:r>
      <w:r w:rsidRPr="00086929">
        <w:rPr>
          <w:rFonts w:ascii="inherit" w:eastAsia="宋体" w:hAnsi="inherit" w:cs="Arial"/>
          <w:color w:val="5A6874"/>
          <w:kern w:val="0"/>
          <w:sz w:val="24"/>
          <w:szCs w:val="24"/>
        </w:rPr>
        <w:t>3</w:t>
      </w:r>
      <w:r w:rsidRPr="00086929">
        <w:rPr>
          <w:rFonts w:ascii="inherit" w:eastAsia="宋体" w:hAnsi="inherit" w:cs="Arial"/>
          <w:color w:val="5A6874"/>
          <w:kern w:val="0"/>
          <w:sz w:val="24"/>
          <w:szCs w:val="24"/>
        </w:rPr>
        <w:t>日，</w:t>
      </w:r>
      <w:proofErr w:type="gramStart"/>
      <w:r w:rsidRPr="00086929">
        <w:rPr>
          <w:rFonts w:ascii="inherit" w:eastAsia="宋体" w:hAnsi="inherit" w:cs="Arial"/>
          <w:color w:val="5A6874"/>
          <w:kern w:val="0"/>
          <w:sz w:val="24"/>
          <w:szCs w:val="24"/>
        </w:rPr>
        <w:t>芝商所</w:t>
      </w:r>
      <w:proofErr w:type="gramEnd"/>
      <w:r w:rsidRPr="00086929">
        <w:rPr>
          <w:rFonts w:ascii="inherit" w:eastAsia="宋体" w:hAnsi="inherit" w:cs="Arial"/>
          <w:color w:val="5A6874"/>
          <w:kern w:val="0"/>
          <w:sz w:val="24"/>
          <w:szCs w:val="24"/>
        </w:rPr>
        <w:t>宣布将近期调整的关于投资组合保证金规模变更扩大至联邦基金利率期货和</w:t>
      </w:r>
      <w:r w:rsidRPr="00086929">
        <w:rPr>
          <w:rFonts w:ascii="inherit" w:eastAsia="宋体" w:hAnsi="inherit" w:cs="Arial"/>
          <w:color w:val="5A6874"/>
          <w:kern w:val="0"/>
          <w:sz w:val="24"/>
          <w:szCs w:val="24"/>
        </w:rPr>
        <w:t>10</w:t>
      </w:r>
      <w:r w:rsidRPr="00086929">
        <w:rPr>
          <w:rFonts w:ascii="inherit" w:eastAsia="宋体" w:hAnsi="inherit" w:cs="Arial"/>
          <w:color w:val="5A6874"/>
          <w:kern w:val="0"/>
          <w:sz w:val="24"/>
          <w:szCs w:val="24"/>
        </w:rPr>
        <w:t>年超长期国债期货两大品种上。</w:t>
      </w:r>
    </w:p>
    <w:p w14:paraId="49F08BD9"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 </w:t>
      </w:r>
    </w:p>
    <w:p w14:paraId="2C31DE46"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从全球范围来看，主要清算所的</w:t>
      </w:r>
      <w:r w:rsidRPr="00086929">
        <w:rPr>
          <w:rFonts w:ascii="inherit" w:eastAsia="宋体" w:hAnsi="inherit" w:cs="Arial"/>
          <w:color w:val="5A6874"/>
          <w:kern w:val="0"/>
          <w:sz w:val="24"/>
          <w:szCs w:val="24"/>
          <w:highlight w:val="yellow"/>
        </w:rPr>
        <w:t>保证金哲学</w:t>
      </w:r>
      <w:r w:rsidRPr="00086929">
        <w:rPr>
          <w:rFonts w:ascii="inherit" w:eastAsia="宋体" w:hAnsi="inherit" w:cs="Arial"/>
          <w:color w:val="5A6874"/>
          <w:kern w:val="0"/>
          <w:sz w:val="24"/>
          <w:szCs w:val="24"/>
        </w:rPr>
        <w:t>主要有</w:t>
      </w:r>
      <w:r w:rsidRPr="00086929">
        <w:rPr>
          <w:rFonts w:ascii="inherit" w:eastAsia="宋体" w:hAnsi="inherit" w:cs="Arial"/>
          <w:color w:val="5A6874"/>
          <w:kern w:val="0"/>
          <w:sz w:val="24"/>
          <w:szCs w:val="24"/>
          <w:highlight w:val="yellow"/>
        </w:rPr>
        <w:t>两种</w:t>
      </w:r>
      <w:r w:rsidRPr="00086929">
        <w:rPr>
          <w:rFonts w:ascii="inherit" w:eastAsia="宋体" w:hAnsi="inherit" w:cs="Arial"/>
          <w:color w:val="5A6874"/>
          <w:kern w:val="0"/>
          <w:sz w:val="24"/>
          <w:szCs w:val="24"/>
        </w:rPr>
        <w:t>。第一种哲学是，</w:t>
      </w:r>
      <w:r w:rsidRPr="00086929">
        <w:rPr>
          <w:rFonts w:ascii="inherit" w:eastAsia="宋体" w:hAnsi="inherit" w:cs="Arial"/>
          <w:color w:val="5A6874"/>
          <w:kern w:val="0"/>
          <w:sz w:val="24"/>
          <w:szCs w:val="24"/>
          <w:highlight w:val="yellow"/>
        </w:rPr>
        <w:t>清算所可将保证金设置得足够高，以覆盖所有可能出现的波动环境</w:t>
      </w:r>
      <w:r w:rsidRPr="00086929">
        <w:rPr>
          <w:rFonts w:ascii="inherit" w:eastAsia="宋体" w:hAnsi="inherit" w:cs="Arial"/>
          <w:color w:val="5A6874"/>
          <w:kern w:val="0"/>
          <w:sz w:val="24"/>
          <w:szCs w:val="24"/>
        </w:rPr>
        <w:t>。</w:t>
      </w:r>
      <w:r w:rsidRPr="00086929">
        <w:rPr>
          <w:rFonts w:ascii="inherit" w:eastAsia="宋体" w:hAnsi="inherit" w:cs="Arial"/>
          <w:color w:val="5A6874"/>
          <w:kern w:val="0"/>
          <w:sz w:val="24"/>
          <w:szCs w:val="24"/>
          <w:highlight w:val="yellow"/>
        </w:rPr>
        <w:t>变动不太频繁，但保证金过高</w:t>
      </w:r>
      <w:r w:rsidRPr="00086929">
        <w:rPr>
          <w:rFonts w:ascii="inherit" w:eastAsia="宋体" w:hAnsi="inherit" w:cs="Arial"/>
          <w:color w:val="5A6874"/>
          <w:kern w:val="0"/>
          <w:sz w:val="24"/>
          <w:szCs w:val="24"/>
        </w:rPr>
        <w:t>。第二种哲学是</w:t>
      </w:r>
      <w:r w:rsidRPr="00086929">
        <w:rPr>
          <w:rFonts w:ascii="inherit" w:eastAsia="宋体" w:hAnsi="inherit" w:cs="Arial"/>
          <w:color w:val="5A6874"/>
          <w:kern w:val="0"/>
          <w:sz w:val="24"/>
          <w:szCs w:val="24"/>
        </w:rPr>
        <w:t xml:space="preserve"> </w:t>
      </w:r>
      <w:r w:rsidRPr="00086929">
        <w:rPr>
          <w:rFonts w:ascii="inherit" w:eastAsia="宋体" w:hAnsi="inherit" w:cs="Arial"/>
          <w:color w:val="5A6874"/>
          <w:kern w:val="0"/>
          <w:sz w:val="24"/>
          <w:szCs w:val="24"/>
          <w:highlight w:val="yellow"/>
        </w:rPr>
        <w:t xml:space="preserve">CME </w:t>
      </w:r>
      <w:r w:rsidRPr="00086929">
        <w:rPr>
          <w:rFonts w:ascii="inherit" w:eastAsia="宋体" w:hAnsi="inherit" w:cs="Arial"/>
          <w:color w:val="5A6874"/>
          <w:kern w:val="0"/>
          <w:sz w:val="24"/>
          <w:szCs w:val="24"/>
          <w:highlight w:val="yellow"/>
        </w:rPr>
        <w:t>清算方式</w:t>
      </w:r>
      <w:r w:rsidRPr="00086929">
        <w:rPr>
          <w:rFonts w:ascii="inherit" w:eastAsia="宋体" w:hAnsi="inherit" w:cs="Arial"/>
          <w:color w:val="5A6874"/>
          <w:kern w:val="0"/>
          <w:sz w:val="24"/>
          <w:szCs w:val="24"/>
        </w:rPr>
        <w:t>，保证设置的</w:t>
      </w:r>
      <w:r w:rsidRPr="00086929">
        <w:rPr>
          <w:rFonts w:ascii="inherit" w:eastAsia="宋体" w:hAnsi="inherit" w:cs="Arial"/>
          <w:color w:val="5A6874"/>
          <w:kern w:val="0"/>
          <w:sz w:val="24"/>
          <w:szCs w:val="24"/>
          <w:highlight w:val="yellow"/>
        </w:rPr>
        <w:t>保证金覆盖</w:t>
      </w:r>
      <w:r w:rsidRPr="00086929">
        <w:rPr>
          <w:rFonts w:ascii="inherit" w:eastAsia="宋体" w:hAnsi="inherit" w:cs="Arial"/>
          <w:color w:val="5A6874"/>
          <w:kern w:val="0"/>
          <w:sz w:val="24"/>
          <w:szCs w:val="24"/>
          <w:highlight w:val="yellow"/>
        </w:rPr>
        <w:t xml:space="preserve"> 99% </w:t>
      </w:r>
      <w:r w:rsidRPr="00086929">
        <w:rPr>
          <w:rFonts w:ascii="inherit" w:eastAsia="宋体" w:hAnsi="inherit" w:cs="Arial"/>
          <w:color w:val="5A6874"/>
          <w:kern w:val="0"/>
          <w:sz w:val="24"/>
          <w:szCs w:val="24"/>
          <w:highlight w:val="yellow"/>
        </w:rPr>
        <w:t>的潜在价格波动</w:t>
      </w:r>
      <w:r w:rsidRPr="00086929">
        <w:rPr>
          <w:rFonts w:ascii="inherit" w:eastAsia="宋体" w:hAnsi="inherit" w:cs="Arial"/>
          <w:color w:val="5A6874"/>
          <w:kern w:val="0"/>
          <w:sz w:val="24"/>
          <w:szCs w:val="24"/>
        </w:rPr>
        <w:t>。</w:t>
      </w:r>
      <w:r w:rsidRPr="00086929">
        <w:rPr>
          <w:rFonts w:ascii="inherit" w:eastAsia="宋体" w:hAnsi="inherit" w:cs="Arial"/>
          <w:color w:val="5A6874"/>
          <w:kern w:val="0"/>
          <w:sz w:val="24"/>
          <w:szCs w:val="24"/>
          <w:highlight w:val="yellow"/>
        </w:rPr>
        <w:t>波动越小，保证金越低；波动越大，保证金越高。</w:t>
      </w:r>
    </w:p>
    <w:p w14:paraId="1028E020"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 </w:t>
      </w:r>
    </w:p>
    <w:p w14:paraId="0B2AE40D"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从保证金征收方式来看，</w:t>
      </w:r>
      <w:proofErr w:type="gramStart"/>
      <w:r w:rsidRPr="00086929">
        <w:rPr>
          <w:rFonts w:ascii="inherit" w:eastAsia="宋体" w:hAnsi="inherit" w:cs="Arial"/>
          <w:color w:val="5A6874"/>
          <w:kern w:val="0"/>
          <w:sz w:val="24"/>
          <w:szCs w:val="24"/>
        </w:rPr>
        <w:t>芝商所</w:t>
      </w:r>
      <w:proofErr w:type="gramEnd"/>
      <w:r w:rsidRPr="00086929">
        <w:rPr>
          <w:rFonts w:ascii="inherit" w:eastAsia="宋体" w:hAnsi="inherit" w:cs="Arial"/>
          <w:color w:val="5A6874"/>
          <w:kern w:val="0"/>
          <w:sz w:val="24"/>
          <w:szCs w:val="24"/>
        </w:rPr>
        <w:t>无疑是采用第二种模式。</w:t>
      </w:r>
      <w:r w:rsidRPr="00086929">
        <w:rPr>
          <w:rFonts w:ascii="inherit" w:eastAsia="宋体" w:hAnsi="inherit" w:cs="Arial"/>
          <w:color w:val="5A6874"/>
          <w:kern w:val="0"/>
          <w:sz w:val="24"/>
          <w:szCs w:val="24"/>
        </w:rPr>
        <w:t xml:space="preserve">CME </w:t>
      </w:r>
      <w:r w:rsidRPr="00086929">
        <w:rPr>
          <w:rFonts w:ascii="inherit" w:eastAsia="宋体" w:hAnsi="inherit" w:cs="Arial"/>
          <w:color w:val="5A6874"/>
          <w:kern w:val="0"/>
          <w:sz w:val="24"/>
          <w:szCs w:val="24"/>
        </w:rPr>
        <w:t>（</w:t>
      </w:r>
      <w:proofErr w:type="gramStart"/>
      <w:r w:rsidRPr="00086929">
        <w:rPr>
          <w:rFonts w:ascii="inherit" w:eastAsia="宋体" w:hAnsi="inherit" w:cs="Arial"/>
          <w:color w:val="5A6874"/>
          <w:kern w:val="0"/>
          <w:sz w:val="24"/>
          <w:szCs w:val="24"/>
        </w:rPr>
        <w:t>芝商所</w:t>
      </w:r>
      <w:proofErr w:type="gramEnd"/>
      <w:r w:rsidRPr="00086929">
        <w:rPr>
          <w:rFonts w:ascii="inherit" w:eastAsia="宋体" w:hAnsi="inherit" w:cs="Arial"/>
          <w:color w:val="5A6874"/>
          <w:kern w:val="0"/>
          <w:sz w:val="24"/>
          <w:szCs w:val="24"/>
        </w:rPr>
        <w:t>）清算所采用了</w:t>
      </w:r>
      <w:r w:rsidRPr="00086929">
        <w:rPr>
          <w:rFonts w:ascii="inherit" w:eastAsia="宋体" w:hAnsi="inherit" w:cs="Arial"/>
          <w:color w:val="5A6874"/>
          <w:kern w:val="0"/>
          <w:sz w:val="24"/>
          <w:szCs w:val="24"/>
          <w:highlight w:val="yellow"/>
        </w:rPr>
        <w:t>标准化的投资组合风险分析系统（</w:t>
      </w:r>
      <w:r w:rsidRPr="00086929">
        <w:rPr>
          <w:rFonts w:ascii="inherit" w:eastAsia="宋体" w:hAnsi="inherit" w:cs="Arial"/>
          <w:color w:val="5A6874"/>
          <w:kern w:val="0"/>
          <w:sz w:val="24"/>
          <w:szCs w:val="24"/>
          <w:highlight w:val="yellow"/>
        </w:rPr>
        <w:t>CME SPAN</w:t>
      </w:r>
      <w:r w:rsidRPr="00086929">
        <w:rPr>
          <w:rFonts w:ascii="inherit" w:eastAsia="宋体" w:hAnsi="inherit" w:cs="Arial"/>
          <w:color w:val="5A6874"/>
          <w:kern w:val="0"/>
          <w:sz w:val="24"/>
          <w:szCs w:val="24"/>
          <w:highlight w:val="yellow"/>
        </w:rPr>
        <w:t>）</w:t>
      </w:r>
      <w:r w:rsidRPr="00086929">
        <w:rPr>
          <w:rFonts w:ascii="inherit" w:eastAsia="宋体" w:hAnsi="inherit" w:cs="Arial"/>
          <w:color w:val="5A6874"/>
          <w:kern w:val="0"/>
          <w:sz w:val="24"/>
          <w:szCs w:val="24"/>
        </w:rPr>
        <w:t>，</w:t>
      </w:r>
      <w:r w:rsidRPr="00086929">
        <w:rPr>
          <w:rFonts w:ascii="inherit" w:eastAsia="宋体" w:hAnsi="inherit" w:cs="Arial"/>
          <w:color w:val="5A6874"/>
          <w:kern w:val="0"/>
          <w:sz w:val="24"/>
          <w:szCs w:val="24"/>
        </w:rPr>
        <w:t xml:space="preserve">CME SPAN </w:t>
      </w:r>
      <w:r w:rsidRPr="00086929">
        <w:rPr>
          <w:rFonts w:ascii="inherit" w:eastAsia="宋体" w:hAnsi="inherit" w:cs="Arial"/>
          <w:color w:val="5A6874"/>
          <w:kern w:val="0"/>
          <w:sz w:val="24"/>
          <w:szCs w:val="24"/>
        </w:rPr>
        <w:t>基于</w:t>
      </w:r>
      <w:r w:rsidRPr="00086929">
        <w:rPr>
          <w:rFonts w:ascii="inherit" w:eastAsia="宋体" w:hAnsi="inherit" w:cs="Arial"/>
          <w:color w:val="5A6874"/>
          <w:kern w:val="0"/>
          <w:sz w:val="24"/>
          <w:szCs w:val="24"/>
          <w:highlight w:val="yellow"/>
        </w:rPr>
        <w:t>投资组合总体风险</w:t>
      </w:r>
      <w:r w:rsidRPr="00086929">
        <w:rPr>
          <w:rFonts w:ascii="inherit" w:eastAsia="宋体" w:hAnsi="inherit" w:cs="Arial"/>
          <w:color w:val="5A6874"/>
          <w:kern w:val="0"/>
          <w:sz w:val="24"/>
          <w:szCs w:val="24"/>
        </w:rPr>
        <w:t>来设定保证金要求，运用</w:t>
      </w:r>
      <w:r w:rsidRPr="00086929">
        <w:rPr>
          <w:rFonts w:ascii="inherit" w:eastAsia="宋体" w:hAnsi="inherit" w:cs="Arial"/>
          <w:color w:val="5A6874"/>
          <w:kern w:val="0"/>
          <w:sz w:val="24"/>
          <w:szCs w:val="24"/>
        </w:rPr>
        <w:t xml:space="preserve"> CME </w:t>
      </w:r>
      <w:r w:rsidRPr="00086929">
        <w:rPr>
          <w:rFonts w:ascii="inherit" w:eastAsia="宋体" w:hAnsi="inherit" w:cs="Arial"/>
          <w:color w:val="5A6874"/>
          <w:kern w:val="0"/>
          <w:sz w:val="24"/>
          <w:szCs w:val="24"/>
        </w:rPr>
        <w:t>清算所规定的各项参数，可以让终端用户轻松复制保证金的计算结果。</w:t>
      </w:r>
      <w:r w:rsidRPr="00086929">
        <w:rPr>
          <w:rFonts w:ascii="inherit" w:eastAsia="宋体" w:hAnsi="inherit" w:cs="Arial"/>
          <w:color w:val="5A6874"/>
          <w:kern w:val="0"/>
          <w:sz w:val="24"/>
          <w:szCs w:val="24"/>
        </w:rPr>
        <w:t xml:space="preserve">CME SPAN </w:t>
      </w:r>
      <w:r w:rsidRPr="00086929">
        <w:rPr>
          <w:rFonts w:ascii="inherit" w:eastAsia="宋体" w:hAnsi="inherit" w:cs="Arial"/>
          <w:color w:val="5A6874"/>
          <w:kern w:val="0"/>
          <w:sz w:val="24"/>
          <w:szCs w:val="24"/>
          <w:highlight w:val="yellow"/>
        </w:rPr>
        <w:t>模拟出市场形势变化造成的影响</w:t>
      </w:r>
      <w:r w:rsidRPr="00086929">
        <w:rPr>
          <w:rFonts w:ascii="inherit" w:eastAsia="宋体" w:hAnsi="inherit" w:cs="Arial"/>
          <w:color w:val="5A6874"/>
          <w:kern w:val="0"/>
          <w:sz w:val="24"/>
          <w:szCs w:val="24"/>
        </w:rPr>
        <w:t>，采用</w:t>
      </w:r>
      <w:r w:rsidRPr="00086929">
        <w:rPr>
          <w:rFonts w:ascii="inherit" w:eastAsia="宋体" w:hAnsi="inherit" w:cs="Arial"/>
          <w:color w:val="5A6874"/>
          <w:kern w:val="0"/>
          <w:sz w:val="24"/>
          <w:szCs w:val="24"/>
          <w:highlight w:val="yellow"/>
        </w:rPr>
        <w:t>适合的期权价格模型</w:t>
      </w:r>
      <w:r w:rsidRPr="00086929">
        <w:rPr>
          <w:rFonts w:ascii="inherit" w:eastAsia="宋体" w:hAnsi="inherit" w:cs="Arial"/>
          <w:color w:val="5A6874"/>
          <w:kern w:val="0"/>
          <w:sz w:val="24"/>
          <w:szCs w:val="24"/>
        </w:rPr>
        <w:t>来确定投资组合的总体风险。</w:t>
      </w:r>
    </w:p>
    <w:p w14:paraId="077B7196"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 </w:t>
      </w:r>
    </w:p>
    <w:p w14:paraId="25C13713"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 xml:space="preserve">SPAN </w:t>
      </w:r>
      <w:r w:rsidRPr="00086929">
        <w:rPr>
          <w:rFonts w:ascii="inherit" w:eastAsia="宋体" w:hAnsi="inherit" w:cs="Arial"/>
          <w:color w:val="5A6874"/>
          <w:kern w:val="0"/>
          <w:sz w:val="24"/>
          <w:szCs w:val="24"/>
        </w:rPr>
        <w:t>是一个</w:t>
      </w:r>
      <w:r w:rsidRPr="00086929">
        <w:rPr>
          <w:rFonts w:ascii="inherit" w:eastAsia="宋体" w:hAnsi="inherit" w:cs="Arial"/>
          <w:color w:val="5A6874"/>
          <w:kern w:val="0"/>
          <w:sz w:val="24"/>
          <w:szCs w:val="24"/>
          <w:highlight w:val="yellow"/>
        </w:rPr>
        <w:t>综合性的风险评估系统</w:t>
      </w:r>
      <w:r w:rsidRPr="00086929">
        <w:rPr>
          <w:rFonts w:ascii="inherit" w:eastAsia="宋体" w:hAnsi="inherit" w:cs="Arial"/>
          <w:color w:val="5A6874"/>
          <w:kern w:val="0"/>
          <w:sz w:val="24"/>
          <w:szCs w:val="24"/>
        </w:rPr>
        <w:t>，可以精确地计算任意投资组合的</w:t>
      </w:r>
      <w:r w:rsidRPr="00086929">
        <w:rPr>
          <w:rFonts w:ascii="inherit" w:eastAsia="宋体" w:hAnsi="inherit" w:cs="Arial"/>
          <w:color w:val="5A6874"/>
          <w:kern w:val="0"/>
          <w:sz w:val="24"/>
          <w:szCs w:val="24"/>
          <w:highlight w:val="yellow"/>
        </w:rPr>
        <w:t>总体</w:t>
      </w:r>
      <w:r w:rsidRPr="00086929">
        <w:rPr>
          <w:rFonts w:ascii="inherit" w:eastAsia="宋体" w:hAnsi="inherit" w:cs="Arial"/>
          <w:color w:val="5A6874"/>
          <w:kern w:val="0"/>
          <w:sz w:val="24"/>
          <w:szCs w:val="24"/>
        </w:rPr>
        <w:t>市场风险，并在此基础上结合交易所的风险管理理念，计算出应收取的保证金。</w:t>
      </w:r>
      <w:r w:rsidRPr="00086929">
        <w:rPr>
          <w:rFonts w:ascii="inherit" w:eastAsia="宋体" w:hAnsi="inherit" w:cs="Arial"/>
          <w:color w:val="5A6874"/>
          <w:kern w:val="0"/>
          <w:sz w:val="24"/>
          <w:szCs w:val="24"/>
        </w:rPr>
        <w:t xml:space="preserve">SPAN </w:t>
      </w:r>
      <w:r w:rsidRPr="00086929">
        <w:rPr>
          <w:rFonts w:ascii="inherit" w:eastAsia="宋体" w:hAnsi="inherit" w:cs="Arial"/>
          <w:color w:val="5A6874"/>
          <w:kern w:val="0"/>
          <w:sz w:val="24"/>
          <w:szCs w:val="24"/>
        </w:rPr>
        <w:t>的核心计算模块由交易所计算并以参数文件的形式每天免费提供给投资者，投资者只要在此基础上输入各自的头寸情况，就可以快捷地在个人电脑上对自己的投资组合进行风险分析，并计算出自己头寸所需要的保证金额度。</w:t>
      </w:r>
    </w:p>
    <w:p w14:paraId="006A947F"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 </w:t>
      </w:r>
    </w:p>
    <w:p w14:paraId="13CF6F48"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值得称道的是，为了充分释放资金的运用灵活性，降低保证金的使用成本，</w:t>
      </w:r>
      <w:r w:rsidRPr="00086929">
        <w:rPr>
          <w:rFonts w:ascii="inherit" w:eastAsia="宋体" w:hAnsi="inherit" w:cs="Arial"/>
          <w:color w:val="5A6874"/>
          <w:kern w:val="0"/>
          <w:sz w:val="24"/>
          <w:szCs w:val="24"/>
        </w:rPr>
        <w:t>SPAN</w:t>
      </w:r>
      <w:r w:rsidRPr="00086929">
        <w:rPr>
          <w:rFonts w:ascii="inherit" w:eastAsia="宋体" w:hAnsi="inherit" w:cs="Arial"/>
          <w:color w:val="5A6874"/>
          <w:kern w:val="0"/>
          <w:sz w:val="24"/>
          <w:szCs w:val="24"/>
        </w:rPr>
        <w:t>系统在计算风险损失时，充分考虑了</w:t>
      </w:r>
      <w:r w:rsidRPr="00086929">
        <w:rPr>
          <w:rFonts w:ascii="inherit" w:eastAsia="宋体" w:hAnsi="inherit" w:cs="Arial"/>
          <w:color w:val="5A6874"/>
          <w:kern w:val="0"/>
          <w:sz w:val="24"/>
          <w:szCs w:val="24"/>
          <w:highlight w:val="yellow"/>
        </w:rPr>
        <w:t>各资产间的关联性</w:t>
      </w:r>
      <w:r w:rsidRPr="00086929">
        <w:rPr>
          <w:rFonts w:ascii="inherit" w:eastAsia="宋体" w:hAnsi="inherit" w:cs="Arial"/>
          <w:color w:val="5A6874"/>
          <w:kern w:val="0"/>
          <w:sz w:val="24"/>
          <w:szCs w:val="24"/>
        </w:rPr>
        <w:t>，</w:t>
      </w:r>
      <w:r w:rsidRPr="00086929">
        <w:rPr>
          <w:rFonts w:ascii="inherit" w:eastAsia="宋体" w:hAnsi="inherit" w:cs="Arial"/>
          <w:color w:val="5A6874"/>
          <w:kern w:val="0"/>
          <w:sz w:val="24"/>
          <w:szCs w:val="24"/>
          <w:highlight w:val="yellow"/>
        </w:rPr>
        <w:t>将呈现负相关关系的资产风险</w:t>
      </w:r>
      <w:proofErr w:type="gramStart"/>
      <w:r w:rsidRPr="00086929">
        <w:rPr>
          <w:rFonts w:ascii="inherit" w:eastAsia="宋体" w:hAnsi="inherit" w:cs="Arial"/>
          <w:color w:val="5A6874"/>
          <w:kern w:val="0"/>
          <w:sz w:val="24"/>
          <w:szCs w:val="24"/>
          <w:highlight w:val="yellow"/>
        </w:rPr>
        <w:t>值相互</w:t>
      </w:r>
      <w:proofErr w:type="gramEnd"/>
      <w:r w:rsidRPr="00086929">
        <w:rPr>
          <w:rFonts w:ascii="inherit" w:eastAsia="宋体" w:hAnsi="inherit" w:cs="Arial"/>
          <w:color w:val="5A6874"/>
          <w:kern w:val="0"/>
          <w:sz w:val="24"/>
          <w:szCs w:val="24"/>
          <w:highlight w:val="yellow"/>
        </w:rPr>
        <w:t>抵消</w:t>
      </w:r>
      <w:r w:rsidRPr="00086929">
        <w:rPr>
          <w:rFonts w:ascii="inherit" w:eastAsia="宋体" w:hAnsi="inherit" w:cs="Arial"/>
          <w:color w:val="5A6874"/>
          <w:kern w:val="0"/>
          <w:sz w:val="24"/>
          <w:szCs w:val="24"/>
        </w:rPr>
        <w:t>，从而实现总资产的风险计算。这</w:t>
      </w:r>
      <w:proofErr w:type="gramStart"/>
      <w:r w:rsidRPr="00086929">
        <w:rPr>
          <w:rFonts w:ascii="inherit" w:eastAsia="宋体" w:hAnsi="inherit" w:cs="Arial"/>
          <w:color w:val="5A6874"/>
          <w:kern w:val="0"/>
          <w:sz w:val="24"/>
          <w:szCs w:val="24"/>
        </w:rPr>
        <w:t>也是芝商所</w:t>
      </w:r>
      <w:proofErr w:type="gramEnd"/>
      <w:r w:rsidRPr="00086929">
        <w:rPr>
          <w:rFonts w:ascii="inherit" w:eastAsia="宋体" w:hAnsi="inherit" w:cs="Arial"/>
          <w:color w:val="5A6874"/>
          <w:kern w:val="0"/>
          <w:sz w:val="24"/>
          <w:szCs w:val="24"/>
        </w:rPr>
        <w:t>（</w:t>
      </w:r>
      <w:r w:rsidRPr="00086929">
        <w:rPr>
          <w:rFonts w:ascii="inherit" w:eastAsia="宋体" w:hAnsi="inherit" w:cs="Arial"/>
          <w:color w:val="5A6874"/>
          <w:kern w:val="0"/>
          <w:sz w:val="24"/>
          <w:szCs w:val="24"/>
        </w:rPr>
        <w:t>CME</w:t>
      </w:r>
      <w:r w:rsidRPr="00086929">
        <w:rPr>
          <w:rFonts w:ascii="inherit" w:eastAsia="宋体" w:hAnsi="inherit" w:cs="Arial"/>
          <w:color w:val="5A6874"/>
          <w:kern w:val="0"/>
          <w:sz w:val="24"/>
          <w:szCs w:val="24"/>
        </w:rPr>
        <w:t>）投资组合保证金征收的依据。</w:t>
      </w:r>
    </w:p>
    <w:p w14:paraId="17ECD7E7"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 </w:t>
      </w:r>
    </w:p>
    <w:p w14:paraId="7423877A"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proofErr w:type="gramStart"/>
      <w:r w:rsidRPr="00086929">
        <w:rPr>
          <w:rFonts w:ascii="inherit" w:eastAsia="宋体" w:hAnsi="inherit" w:cs="Arial"/>
          <w:color w:val="5A6874"/>
          <w:kern w:val="0"/>
          <w:sz w:val="24"/>
          <w:szCs w:val="24"/>
        </w:rPr>
        <w:lastRenderedPageBreak/>
        <w:t>芝商所</w:t>
      </w:r>
      <w:proofErr w:type="gramEnd"/>
      <w:r w:rsidRPr="00086929">
        <w:rPr>
          <w:rFonts w:ascii="inherit" w:eastAsia="宋体" w:hAnsi="inherit" w:cs="Arial"/>
          <w:color w:val="5A6874"/>
          <w:kern w:val="0"/>
          <w:sz w:val="24"/>
          <w:szCs w:val="24"/>
        </w:rPr>
        <w:t>为了计算保证金的需要，会先将投资组合头寸进行</w:t>
      </w:r>
      <w:r w:rsidRPr="00086929">
        <w:rPr>
          <w:rFonts w:ascii="inherit" w:eastAsia="宋体" w:hAnsi="inherit" w:cs="Arial"/>
          <w:color w:val="5A6874"/>
          <w:kern w:val="0"/>
          <w:sz w:val="24"/>
          <w:szCs w:val="24"/>
          <w:highlight w:val="yellow"/>
        </w:rPr>
        <w:t>分类</w:t>
      </w:r>
      <w:r w:rsidRPr="00086929">
        <w:rPr>
          <w:rFonts w:ascii="inherit" w:eastAsia="宋体" w:hAnsi="inherit" w:cs="Arial"/>
          <w:color w:val="5A6874"/>
          <w:kern w:val="0"/>
          <w:sz w:val="24"/>
          <w:szCs w:val="24"/>
        </w:rPr>
        <w:t>，把具有相同或者相似标的物产品视为一个</w:t>
      </w:r>
      <w:r w:rsidRPr="00086929">
        <w:rPr>
          <w:rFonts w:ascii="inherit" w:eastAsia="宋体" w:hAnsi="inherit" w:cs="Arial"/>
          <w:color w:val="5A6874"/>
          <w:kern w:val="0"/>
          <w:sz w:val="24"/>
          <w:szCs w:val="24"/>
          <w:highlight w:val="yellow"/>
        </w:rPr>
        <w:t>产品组合</w:t>
      </w:r>
      <w:r w:rsidRPr="00086929">
        <w:rPr>
          <w:rFonts w:ascii="inherit" w:eastAsia="宋体" w:hAnsi="inherit" w:cs="Arial"/>
          <w:color w:val="5A6874"/>
          <w:kern w:val="0"/>
          <w:sz w:val="24"/>
          <w:szCs w:val="24"/>
        </w:rPr>
        <w:t>。此外，</w:t>
      </w:r>
      <w:r w:rsidRPr="00086929">
        <w:rPr>
          <w:rFonts w:ascii="inherit" w:eastAsia="宋体" w:hAnsi="inherit" w:cs="Arial"/>
          <w:color w:val="5A6874"/>
          <w:kern w:val="0"/>
          <w:sz w:val="24"/>
          <w:szCs w:val="24"/>
        </w:rPr>
        <w:t xml:space="preserve">SPAN </w:t>
      </w:r>
      <w:r w:rsidRPr="00086929">
        <w:rPr>
          <w:rFonts w:ascii="inherit" w:eastAsia="宋体" w:hAnsi="inherit" w:cs="Arial"/>
          <w:color w:val="5A6874"/>
          <w:kern w:val="0"/>
          <w:sz w:val="24"/>
          <w:szCs w:val="24"/>
        </w:rPr>
        <w:t>又为了计算上的方便，将产品组合进一步归类到各自不同的</w:t>
      </w:r>
      <w:r w:rsidRPr="00086929">
        <w:rPr>
          <w:rFonts w:ascii="inherit" w:eastAsia="宋体" w:hAnsi="inherit" w:cs="Arial"/>
          <w:color w:val="5A6874"/>
          <w:kern w:val="0"/>
          <w:sz w:val="24"/>
          <w:szCs w:val="24"/>
          <w:highlight w:val="yellow"/>
        </w:rPr>
        <w:t>产品群</w:t>
      </w:r>
      <w:r w:rsidRPr="00086929">
        <w:rPr>
          <w:rFonts w:ascii="inherit" w:eastAsia="宋体" w:hAnsi="inherit" w:cs="Arial"/>
          <w:color w:val="5A6874"/>
          <w:kern w:val="0"/>
          <w:sz w:val="24"/>
          <w:szCs w:val="24"/>
        </w:rPr>
        <w:t>。</w:t>
      </w:r>
      <w:r w:rsidRPr="00086929">
        <w:rPr>
          <w:rFonts w:ascii="inherit" w:eastAsia="宋体" w:hAnsi="inherit" w:cs="Arial"/>
          <w:color w:val="5A6874"/>
          <w:kern w:val="0"/>
          <w:sz w:val="24"/>
          <w:szCs w:val="24"/>
        </w:rPr>
        <w:t xml:space="preserve">SPAN </w:t>
      </w:r>
      <w:r w:rsidRPr="00086929">
        <w:rPr>
          <w:rFonts w:ascii="inherit" w:eastAsia="宋体" w:hAnsi="inherit" w:cs="Arial"/>
          <w:color w:val="5A6874"/>
          <w:kern w:val="0"/>
          <w:sz w:val="24"/>
          <w:szCs w:val="24"/>
        </w:rPr>
        <w:t>计算出投资组合的总风险之后，会进一步计算投资组合中的</w:t>
      </w:r>
      <w:r w:rsidRPr="00086929">
        <w:rPr>
          <w:rFonts w:ascii="inherit" w:eastAsia="宋体" w:hAnsi="inherit" w:cs="Arial"/>
          <w:color w:val="5A6874"/>
          <w:kern w:val="0"/>
          <w:sz w:val="24"/>
          <w:szCs w:val="24"/>
          <w:highlight w:val="yellow"/>
        </w:rPr>
        <w:t>期权净值</w:t>
      </w:r>
      <w:r w:rsidRPr="00086929">
        <w:rPr>
          <w:rFonts w:ascii="inherit" w:eastAsia="宋体" w:hAnsi="inherit" w:cs="Arial"/>
          <w:color w:val="5A6874"/>
          <w:kern w:val="0"/>
          <w:sz w:val="24"/>
          <w:szCs w:val="24"/>
          <w:highlight w:val="yellow"/>
        </w:rPr>
        <w:t>(Net Option Value)</w:t>
      </w:r>
      <w:r w:rsidRPr="00086929">
        <w:rPr>
          <w:rFonts w:ascii="inherit" w:eastAsia="宋体" w:hAnsi="inherit" w:cs="Arial"/>
          <w:color w:val="5A6874"/>
          <w:kern w:val="0"/>
          <w:sz w:val="24"/>
          <w:szCs w:val="24"/>
        </w:rPr>
        <w:t>。该值是投资组合中所有期权头寸依据市场价格立即平仓后的现金流量。</w:t>
      </w:r>
      <w:r w:rsidRPr="00086929">
        <w:rPr>
          <w:rFonts w:ascii="inherit" w:eastAsia="宋体" w:hAnsi="inherit" w:cs="Arial"/>
          <w:color w:val="5A6874"/>
          <w:kern w:val="0"/>
          <w:sz w:val="24"/>
          <w:szCs w:val="24"/>
        </w:rPr>
        <w:t xml:space="preserve">SPAN </w:t>
      </w:r>
      <w:r w:rsidRPr="00086929">
        <w:rPr>
          <w:rFonts w:ascii="inherit" w:eastAsia="宋体" w:hAnsi="inherit" w:cs="Arial"/>
          <w:color w:val="5A6874"/>
          <w:kern w:val="0"/>
          <w:sz w:val="24"/>
          <w:szCs w:val="24"/>
        </w:rPr>
        <w:t>将</w:t>
      </w:r>
      <w:r w:rsidRPr="00086929">
        <w:rPr>
          <w:rFonts w:ascii="inherit" w:eastAsia="宋体" w:hAnsi="inherit" w:cs="Arial"/>
          <w:color w:val="5A6874"/>
          <w:kern w:val="0"/>
          <w:sz w:val="24"/>
          <w:szCs w:val="24"/>
          <w:highlight w:val="yellow"/>
        </w:rPr>
        <w:t>整个投资组合的风险值减去期权净值的金额</w:t>
      </w:r>
      <w:r w:rsidRPr="00086929">
        <w:rPr>
          <w:rFonts w:ascii="inherit" w:eastAsia="宋体" w:hAnsi="inherit" w:cs="Arial"/>
          <w:color w:val="5A6874"/>
          <w:kern w:val="0"/>
          <w:sz w:val="24"/>
          <w:szCs w:val="24"/>
        </w:rPr>
        <w:t>，作为对客户收取的</w:t>
      </w:r>
      <w:r w:rsidRPr="00086929">
        <w:rPr>
          <w:rFonts w:ascii="inherit" w:eastAsia="宋体" w:hAnsi="inherit" w:cs="Arial"/>
          <w:color w:val="5A6874"/>
          <w:kern w:val="0"/>
          <w:sz w:val="24"/>
          <w:szCs w:val="24"/>
          <w:highlight w:val="yellow"/>
        </w:rPr>
        <w:t>保证金额度</w:t>
      </w:r>
      <w:r w:rsidRPr="00086929">
        <w:rPr>
          <w:rFonts w:ascii="inherit" w:eastAsia="宋体" w:hAnsi="inherit" w:cs="Arial"/>
          <w:color w:val="5A6874"/>
          <w:kern w:val="0"/>
          <w:sz w:val="24"/>
          <w:szCs w:val="24"/>
        </w:rPr>
        <w:t>(</w:t>
      </w:r>
      <w:r w:rsidRPr="00086929">
        <w:rPr>
          <w:rFonts w:ascii="inherit" w:eastAsia="宋体" w:hAnsi="inherit" w:cs="Arial"/>
          <w:color w:val="5A6874"/>
          <w:kern w:val="0"/>
          <w:sz w:val="24"/>
          <w:szCs w:val="24"/>
          <w:highlight w:val="yellow"/>
        </w:rPr>
        <w:t xml:space="preserve">SPAN </w:t>
      </w:r>
      <w:proofErr w:type="spellStart"/>
      <w:r w:rsidRPr="00086929">
        <w:rPr>
          <w:rFonts w:ascii="inherit" w:eastAsia="宋体" w:hAnsi="inherit" w:cs="Arial"/>
          <w:color w:val="5A6874"/>
          <w:kern w:val="0"/>
          <w:sz w:val="24"/>
          <w:szCs w:val="24"/>
          <w:highlight w:val="yellow"/>
        </w:rPr>
        <w:t>TotalRequirement</w:t>
      </w:r>
      <w:proofErr w:type="spellEnd"/>
      <w:r w:rsidRPr="00086929">
        <w:rPr>
          <w:rFonts w:ascii="inherit" w:eastAsia="宋体" w:hAnsi="inherit" w:cs="Arial"/>
          <w:color w:val="5A6874"/>
          <w:kern w:val="0"/>
          <w:sz w:val="24"/>
          <w:szCs w:val="24"/>
        </w:rPr>
        <w:t>)</w:t>
      </w:r>
      <w:r w:rsidRPr="00086929">
        <w:rPr>
          <w:rFonts w:ascii="inherit" w:eastAsia="宋体" w:hAnsi="inherit" w:cs="Arial"/>
          <w:color w:val="5A6874"/>
          <w:kern w:val="0"/>
          <w:sz w:val="24"/>
          <w:szCs w:val="24"/>
        </w:rPr>
        <w:t>。</w:t>
      </w:r>
    </w:p>
    <w:p w14:paraId="1211519D"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 </w:t>
      </w:r>
    </w:p>
    <w:p w14:paraId="3D74C0B0"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proofErr w:type="gramStart"/>
      <w:r w:rsidRPr="00086929">
        <w:rPr>
          <w:rFonts w:ascii="inherit" w:eastAsia="宋体" w:hAnsi="inherit" w:cs="Arial"/>
          <w:color w:val="5A6874"/>
          <w:kern w:val="0"/>
          <w:sz w:val="24"/>
          <w:szCs w:val="24"/>
        </w:rPr>
        <w:t>芝商所</w:t>
      </w:r>
      <w:proofErr w:type="gramEnd"/>
      <w:r w:rsidRPr="00086929">
        <w:rPr>
          <w:rFonts w:ascii="inherit" w:eastAsia="宋体" w:hAnsi="inherit" w:cs="Arial"/>
          <w:color w:val="5A6874"/>
          <w:kern w:val="0"/>
          <w:sz w:val="24"/>
          <w:szCs w:val="24"/>
        </w:rPr>
        <w:t>实施投资组合保证金，</w:t>
      </w:r>
      <w:r w:rsidRPr="00086929">
        <w:rPr>
          <w:rFonts w:ascii="inherit" w:eastAsia="宋体" w:hAnsi="inherit" w:cs="Arial"/>
          <w:color w:val="5A6874"/>
          <w:kern w:val="0"/>
          <w:sz w:val="24"/>
          <w:szCs w:val="24"/>
          <w:highlight w:val="yellow"/>
        </w:rPr>
        <w:t>在资金效率上具备明显的优势</w:t>
      </w:r>
      <w:r w:rsidRPr="00086929">
        <w:rPr>
          <w:rFonts w:ascii="inherit" w:eastAsia="宋体" w:hAnsi="inherit" w:cs="Arial"/>
          <w:color w:val="5A6874"/>
          <w:kern w:val="0"/>
          <w:sz w:val="24"/>
          <w:szCs w:val="24"/>
        </w:rPr>
        <w:t>。</w:t>
      </w:r>
      <w:proofErr w:type="gramStart"/>
      <w:r w:rsidRPr="00086929">
        <w:rPr>
          <w:rFonts w:ascii="inherit" w:eastAsia="宋体" w:hAnsi="inherit" w:cs="Arial"/>
          <w:color w:val="5A6874"/>
          <w:kern w:val="0"/>
          <w:sz w:val="24"/>
          <w:szCs w:val="24"/>
        </w:rPr>
        <w:t>据芝商</w:t>
      </w:r>
      <w:proofErr w:type="gramEnd"/>
      <w:r w:rsidRPr="00086929">
        <w:rPr>
          <w:rFonts w:ascii="inherit" w:eastAsia="宋体" w:hAnsi="inherit" w:cs="Arial"/>
          <w:color w:val="5A6874"/>
          <w:kern w:val="0"/>
          <w:sz w:val="24"/>
          <w:szCs w:val="24"/>
        </w:rPr>
        <w:t>所提供的资料显示，基于</w:t>
      </w:r>
      <w:r w:rsidRPr="00086929">
        <w:rPr>
          <w:rFonts w:ascii="inherit" w:eastAsia="宋体" w:hAnsi="inherit" w:cs="Arial"/>
          <w:color w:val="5A6874"/>
          <w:kern w:val="0"/>
          <w:sz w:val="24"/>
          <w:szCs w:val="24"/>
          <w:highlight w:val="yellow"/>
        </w:rPr>
        <w:t>delta</w:t>
      </w:r>
      <w:r w:rsidRPr="00086929">
        <w:rPr>
          <w:rFonts w:ascii="inherit" w:eastAsia="宋体" w:hAnsi="inherit" w:cs="Arial"/>
          <w:color w:val="5A6874"/>
          <w:kern w:val="0"/>
          <w:sz w:val="24"/>
          <w:szCs w:val="24"/>
          <w:highlight w:val="yellow"/>
        </w:rPr>
        <w:t>中性策略</w:t>
      </w:r>
      <w:r w:rsidRPr="00086929">
        <w:rPr>
          <w:rFonts w:ascii="inherit" w:eastAsia="宋体" w:hAnsi="inherit" w:cs="Arial"/>
          <w:color w:val="5A6874"/>
          <w:kern w:val="0"/>
          <w:sz w:val="24"/>
          <w:szCs w:val="24"/>
        </w:rPr>
        <w:t>的掉期和期货投资组合可以</w:t>
      </w:r>
      <w:r w:rsidRPr="00086929">
        <w:rPr>
          <w:rFonts w:ascii="inherit" w:eastAsia="宋体" w:hAnsi="inherit" w:cs="Arial"/>
          <w:color w:val="5A6874"/>
          <w:kern w:val="0"/>
          <w:sz w:val="24"/>
          <w:szCs w:val="24"/>
          <w:highlight w:val="yellow"/>
        </w:rPr>
        <w:t>节约</w:t>
      </w:r>
      <w:r w:rsidRPr="00086929">
        <w:rPr>
          <w:rFonts w:ascii="inherit" w:eastAsia="宋体" w:hAnsi="inherit" w:cs="Arial"/>
          <w:color w:val="5A6874"/>
          <w:kern w:val="0"/>
          <w:sz w:val="24"/>
          <w:szCs w:val="24"/>
          <w:highlight w:val="yellow"/>
        </w:rPr>
        <w:t>89%</w:t>
      </w:r>
      <w:r w:rsidRPr="00086929">
        <w:rPr>
          <w:rFonts w:ascii="inherit" w:eastAsia="宋体" w:hAnsi="inherit" w:cs="Arial"/>
          <w:color w:val="5A6874"/>
          <w:kern w:val="0"/>
          <w:sz w:val="24"/>
          <w:szCs w:val="24"/>
          <w:highlight w:val="yellow"/>
        </w:rPr>
        <w:t>的保证金成本</w:t>
      </w:r>
      <w:r w:rsidRPr="00086929">
        <w:rPr>
          <w:rFonts w:ascii="inherit" w:eastAsia="宋体" w:hAnsi="inherit" w:cs="Arial"/>
          <w:color w:val="5A6874"/>
          <w:kern w:val="0"/>
          <w:sz w:val="24"/>
          <w:szCs w:val="24"/>
        </w:rPr>
        <w:t>。以国债发票掉期价差为例，作为一篮子交易包含</w:t>
      </w:r>
      <w:r w:rsidRPr="00086929">
        <w:rPr>
          <w:rFonts w:ascii="inherit" w:eastAsia="宋体" w:hAnsi="inherit" w:cs="Arial"/>
          <w:color w:val="5A6874"/>
          <w:kern w:val="0"/>
          <w:sz w:val="24"/>
          <w:szCs w:val="24"/>
        </w:rPr>
        <w:t>CBOT</w:t>
      </w:r>
      <w:r w:rsidRPr="00086929">
        <w:rPr>
          <w:rFonts w:ascii="inherit" w:eastAsia="宋体" w:hAnsi="inherit" w:cs="Arial"/>
          <w:color w:val="5A6874"/>
          <w:kern w:val="0"/>
          <w:sz w:val="24"/>
          <w:szCs w:val="24"/>
        </w:rPr>
        <w:t>国债期货和相对应的利率掉期。掉期产品设计成符合国债期货的属性，包括名义价值的</w:t>
      </w:r>
      <w:proofErr w:type="gramStart"/>
      <w:r w:rsidRPr="00086929">
        <w:rPr>
          <w:rFonts w:ascii="inherit" w:eastAsia="宋体" w:hAnsi="inherit" w:cs="Arial"/>
          <w:color w:val="5A6874"/>
          <w:kern w:val="0"/>
          <w:sz w:val="24"/>
          <w:szCs w:val="24"/>
        </w:rPr>
        <w:t>久期中性</w:t>
      </w:r>
      <w:proofErr w:type="gramEnd"/>
      <w:r w:rsidRPr="00086929">
        <w:rPr>
          <w:rFonts w:ascii="inherit" w:eastAsia="宋体" w:hAnsi="inherit" w:cs="Arial"/>
          <w:color w:val="5A6874"/>
          <w:kern w:val="0"/>
          <w:sz w:val="24"/>
          <w:szCs w:val="24"/>
        </w:rPr>
        <w:t>、有效期符合期货最后交割日、到期日匹配最便宜交割债券。这个产品市场非常活跃，每天成交量达到</w:t>
      </w:r>
      <w:r w:rsidRPr="00086929">
        <w:rPr>
          <w:rFonts w:ascii="inherit" w:eastAsia="宋体" w:hAnsi="inherit" w:cs="Arial"/>
          <w:color w:val="5A6874"/>
          <w:kern w:val="0"/>
          <w:sz w:val="24"/>
          <w:szCs w:val="24"/>
        </w:rPr>
        <w:t>50</w:t>
      </w:r>
      <w:r w:rsidRPr="00086929">
        <w:rPr>
          <w:rFonts w:ascii="inherit" w:eastAsia="宋体" w:hAnsi="inherit" w:cs="Arial"/>
          <w:color w:val="5A6874"/>
          <w:kern w:val="0"/>
          <w:sz w:val="24"/>
          <w:szCs w:val="24"/>
        </w:rPr>
        <w:t>亿美元名义价值。</w:t>
      </w:r>
    </w:p>
    <w:p w14:paraId="4310F2CF"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 </w:t>
      </w:r>
    </w:p>
    <w:p w14:paraId="7C3FC4FD"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回到成本上，资本的必要条件意味着持有资产需要显著的成本，而运用投资保证金组合方式计算保证金可以节省大量的成本。例如</w:t>
      </w:r>
      <w:r w:rsidRPr="00086929">
        <w:rPr>
          <w:rFonts w:ascii="inherit" w:eastAsia="宋体" w:hAnsi="inherit" w:cs="Arial"/>
          <w:color w:val="5A6874"/>
          <w:kern w:val="0"/>
          <w:sz w:val="24"/>
          <w:szCs w:val="24"/>
        </w:rPr>
        <w:t>2</w:t>
      </w:r>
      <w:r w:rsidRPr="00086929">
        <w:rPr>
          <w:rFonts w:ascii="inherit" w:eastAsia="宋体" w:hAnsi="inherit" w:cs="Arial"/>
          <w:color w:val="5A6874"/>
          <w:kern w:val="0"/>
          <w:sz w:val="24"/>
          <w:szCs w:val="24"/>
        </w:rPr>
        <w:t>年期国债期货和对应的利率掉期分开结算，保证金需要</w:t>
      </w:r>
      <w:r w:rsidRPr="00086929">
        <w:rPr>
          <w:rFonts w:ascii="inherit" w:eastAsia="宋体" w:hAnsi="inherit" w:cs="Arial"/>
          <w:color w:val="5A6874"/>
          <w:kern w:val="0"/>
          <w:sz w:val="24"/>
          <w:szCs w:val="24"/>
          <w:highlight w:val="yellow"/>
        </w:rPr>
        <w:t>40903813</w:t>
      </w:r>
      <w:r w:rsidRPr="00086929">
        <w:rPr>
          <w:rFonts w:ascii="inherit" w:eastAsia="宋体" w:hAnsi="inherit" w:cs="Arial"/>
          <w:color w:val="5A6874"/>
          <w:kern w:val="0"/>
          <w:sz w:val="24"/>
          <w:szCs w:val="24"/>
        </w:rPr>
        <w:t>美元，</w:t>
      </w:r>
      <w:proofErr w:type="gramStart"/>
      <w:r w:rsidRPr="00086929">
        <w:rPr>
          <w:rFonts w:ascii="inherit" w:eastAsia="宋体" w:hAnsi="inherit" w:cs="Arial"/>
          <w:color w:val="5A6874"/>
          <w:kern w:val="0"/>
          <w:sz w:val="24"/>
          <w:szCs w:val="24"/>
        </w:rPr>
        <w:t>而芝商</w:t>
      </w:r>
      <w:proofErr w:type="gramEnd"/>
      <w:r w:rsidRPr="00086929">
        <w:rPr>
          <w:rFonts w:ascii="inherit" w:eastAsia="宋体" w:hAnsi="inherit" w:cs="Arial"/>
          <w:color w:val="5A6874"/>
          <w:kern w:val="0"/>
          <w:sz w:val="24"/>
          <w:szCs w:val="24"/>
        </w:rPr>
        <w:t>所投资组合保证金方法计算出需要收取的保证金是</w:t>
      </w:r>
      <w:r w:rsidRPr="00086929">
        <w:rPr>
          <w:rFonts w:ascii="inherit" w:eastAsia="宋体" w:hAnsi="inherit" w:cs="Arial"/>
          <w:color w:val="5A6874"/>
          <w:kern w:val="0"/>
          <w:sz w:val="24"/>
          <w:szCs w:val="24"/>
          <w:highlight w:val="yellow"/>
        </w:rPr>
        <w:t>13604549</w:t>
      </w:r>
      <w:r w:rsidRPr="00086929">
        <w:rPr>
          <w:rFonts w:ascii="inherit" w:eastAsia="宋体" w:hAnsi="inherit" w:cs="Arial"/>
          <w:color w:val="5A6874"/>
          <w:kern w:val="0"/>
          <w:sz w:val="24"/>
          <w:szCs w:val="24"/>
        </w:rPr>
        <w:t>美元，这样保证金节省了</w:t>
      </w:r>
      <w:r w:rsidRPr="00086929">
        <w:rPr>
          <w:rFonts w:ascii="inherit" w:eastAsia="宋体" w:hAnsi="inherit" w:cs="Arial"/>
          <w:color w:val="5A6874"/>
          <w:kern w:val="0"/>
          <w:sz w:val="24"/>
          <w:szCs w:val="24"/>
          <w:highlight w:val="yellow"/>
        </w:rPr>
        <w:t>67%</w:t>
      </w:r>
      <w:r w:rsidRPr="00086929">
        <w:rPr>
          <w:rFonts w:ascii="inherit" w:eastAsia="宋体" w:hAnsi="inherit" w:cs="Arial"/>
          <w:color w:val="5A6874"/>
          <w:kern w:val="0"/>
          <w:sz w:val="24"/>
          <w:szCs w:val="24"/>
        </w:rPr>
        <w:t>。以同样的方式（投资组合保证金方式）计算</w:t>
      </w:r>
      <w:r w:rsidRPr="00086929">
        <w:rPr>
          <w:rFonts w:ascii="inherit" w:eastAsia="宋体" w:hAnsi="inherit" w:cs="Arial"/>
          <w:color w:val="5A6874"/>
          <w:kern w:val="0"/>
          <w:sz w:val="24"/>
          <w:szCs w:val="24"/>
        </w:rPr>
        <w:t>5</w:t>
      </w:r>
      <w:r w:rsidRPr="00086929">
        <w:rPr>
          <w:rFonts w:ascii="inherit" w:eastAsia="宋体" w:hAnsi="inherit" w:cs="Arial"/>
          <w:color w:val="5A6874"/>
          <w:kern w:val="0"/>
          <w:sz w:val="24"/>
          <w:szCs w:val="24"/>
        </w:rPr>
        <w:t>年期国债期货及对应利率掉期、</w:t>
      </w:r>
      <w:r w:rsidRPr="00086929">
        <w:rPr>
          <w:rFonts w:ascii="inherit" w:eastAsia="宋体" w:hAnsi="inherit" w:cs="Arial"/>
          <w:color w:val="5A6874"/>
          <w:kern w:val="0"/>
          <w:sz w:val="24"/>
          <w:szCs w:val="24"/>
        </w:rPr>
        <w:t>10</w:t>
      </w:r>
      <w:r w:rsidRPr="00086929">
        <w:rPr>
          <w:rFonts w:ascii="inherit" w:eastAsia="宋体" w:hAnsi="inherit" w:cs="Arial"/>
          <w:color w:val="5A6874"/>
          <w:kern w:val="0"/>
          <w:sz w:val="24"/>
          <w:szCs w:val="24"/>
        </w:rPr>
        <w:t>年期国债期货及对应利率掉期、</w:t>
      </w:r>
      <w:r w:rsidRPr="00086929">
        <w:rPr>
          <w:rFonts w:ascii="inherit" w:eastAsia="宋体" w:hAnsi="inherit" w:cs="Arial"/>
          <w:color w:val="5A6874"/>
          <w:kern w:val="0"/>
          <w:sz w:val="24"/>
          <w:szCs w:val="24"/>
        </w:rPr>
        <w:t>10</w:t>
      </w:r>
      <w:r w:rsidRPr="00086929">
        <w:rPr>
          <w:rFonts w:ascii="inherit" w:eastAsia="宋体" w:hAnsi="inherit" w:cs="Arial"/>
          <w:color w:val="5A6874"/>
          <w:kern w:val="0"/>
          <w:sz w:val="24"/>
          <w:szCs w:val="24"/>
        </w:rPr>
        <w:t>年超长国债期货及对应掉期、长期国债期货及对应利率掉期、超长期国债期货及对应利率掉期、</w:t>
      </w:r>
      <w:r w:rsidRPr="00086929">
        <w:rPr>
          <w:rFonts w:ascii="inherit" w:eastAsia="宋体" w:hAnsi="inherit" w:cs="Arial"/>
          <w:color w:val="5A6874"/>
          <w:kern w:val="0"/>
          <w:sz w:val="24"/>
          <w:szCs w:val="24"/>
        </w:rPr>
        <w:t>30</w:t>
      </w:r>
      <w:r w:rsidRPr="00086929">
        <w:rPr>
          <w:rFonts w:ascii="inherit" w:eastAsia="宋体" w:hAnsi="inherit" w:cs="Arial"/>
          <w:color w:val="5A6874"/>
          <w:kern w:val="0"/>
          <w:sz w:val="24"/>
          <w:szCs w:val="24"/>
        </w:rPr>
        <w:t>天联邦基金利率期货及对应利率掉期节省的保证金分别达到</w:t>
      </w:r>
      <w:r w:rsidRPr="00086929">
        <w:rPr>
          <w:rFonts w:ascii="inherit" w:eastAsia="宋体" w:hAnsi="inherit" w:cs="Arial"/>
          <w:color w:val="5A6874"/>
          <w:kern w:val="0"/>
          <w:sz w:val="24"/>
          <w:szCs w:val="24"/>
          <w:highlight w:val="yellow"/>
        </w:rPr>
        <w:t>80%</w:t>
      </w:r>
      <w:r w:rsidRPr="00086929">
        <w:rPr>
          <w:rFonts w:ascii="inherit" w:eastAsia="宋体" w:hAnsi="inherit" w:cs="Arial"/>
          <w:color w:val="5A6874"/>
          <w:kern w:val="0"/>
          <w:sz w:val="24"/>
          <w:szCs w:val="24"/>
          <w:highlight w:val="yellow"/>
        </w:rPr>
        <w:t>、</w:t>
      </w:r>
      <w:r w:rsidRPr="00086929">
        <w:rPr>
          <w:rFonts w:ascii="inherit" w:eastAsia="宋体" w:hAnsi="inherit" w:cs="Arial"/>
          <w:color w:val="5A6874"/>
          <w:kern w:val="0"/>
          <w:sz w:val="24"/>
          <w:szCs w:val="24"/>
          <w:highlight w:val="yellow"/>
        </w:rPr>
        <w:t>74%</w:t>
      </w:r>
      <w:r w:rsidRPr="00086929">
        <w:rPr>
          <w:rFonts w:ascii="inherit" w:eastAsia="宋体" w:hAnsi="inherit" w:cs="Arial"/>
          <w:color w:val="5A6874"/>
          <w:kern w:val="0"/>
          <w:sz w:val="24"/>
          <w:szCs w:val="24"/>
          <w:highlight w:val="yellow"/>
        </w:rPr>
        <w:t>、</w:t>
      </w:r>
      <w:r w:rsidRPr="00086929">
        <w:rPr>
          <w:rFonts w:ascii="inherit" w:eastAsia="宋体" w:hAnsi="inherit" w:cs="Arial"/>
          <w:color w:val="5A6874"/>
          <w:kern w:val="0"/>
          <w:sz w:val="24"/>
          <w:szCs w:val="24"/>
          <w:highlight w:val="yellow"/>
        </w:rPr>
        <w:t>77%</w:t>
      </w:r>
      <w:r w:rsidRPr="00086929">
        <w:rPr>
          <w:rFonts w:ascii="inherit" w:eastAsia="宋体" w:hAnsi="inherit" w:cs="Arial"/>
          <w:color w:val="5A6874"/>
          <w:kern w:val="0"/>
          <w:sz w:val="24"/>
          <w:szCs w:val="24"/>
          <w:highlight w:val="yellow"/>
        </w:rPr>
        <w:t>、</w:t>
      </w:r>
      <w:r w:rsidRPr="00086929">
        <w:rPr>
          <w:rFonts w:ascii="inherit" w:eastAsia="宋体" w:hAnsi="inherit" w:cs="Arial"/>
          <w:color w:val="5A6874"/>
          <w:kern w:val="0"/>
          <w:sz w:val="24"/>
          <w:szCs w:val="24"/>
          <w:highlight w:val="yellow"/>
        </w:rPr>
        <w:t>63%</w:t>
      </w:r>
      <w:r w:rsidRPr="00086929">
        <w:rPr>
          <w:rFonts w:ascii="inherit" w:eastAsia="宋体" w:hAnsi="inherit" w:cs="Arial"/>
          <w:color w:val="5A6874"/>
          <w:kern w:val="0"/>
          <w:sz w:val="24"/>
          <w:szCs w:val="24"/>
          <w:highlight w:val="yellow"/>
        </w:rPr>
        <w:t>、</w:t>
      </w:r>
      <w:r w:rsidRPr="00086929">
        <w:rPr>
          <w:rFonts w:ascii="inherit" w:eastAsia="宋体" w:hAnsi="inherit" w:cs="Arial"/>
          <w:color w:val="5A6874"/>
          <w:kern w:val="0"/>
          <w:sz w:val="24"/>
          <w:szCs w:val="24"/>
          <w:highlight w:val="yellow"/>
        </w:rPr>
        <w:t>71%</w:t>
      </w:r>
      <w:r w:rsidRPr="00086929">
        <w:rPr>
          <w:rFonts w:ascii="inherit" w:eastAsia="宋体" w:hAnsi="inherit" w:cs="Arial"/>
          <w:color w:val="5A6874"/>
          <w:kern w:val="0"/>
          <w:sz w:val="24"/>
          <w:szCs w:val="24"/>
          <w:highlight w:val="yellow"/>
        </w:rPr>
        <w:t>和</w:t>
      </w:r>
      <w:r w:rsidRPr="00086929">
        <w:rPr>
          <w:rFonts w:ascii="inherit" w:eastAsia="宋体" w:hAnsi="inherit" w:cs="Arial"/>
          <w:color w:val="5A6874"/>
          <w:kern w:val="0"/>
          <w:sz w:val="24"/>
          <w:szCs w:val="24"/>
          <w:highlight w:val="yellow"/>
        </w:rPr>
        <w:t>77%</w:t>
      </w:r>
      <w:r w:rsidRPr="00086929">
        <w:rPr>
          <w:rFonts w:ascii="inherit" w:eastAsia="宋体" w:hAnsi="inherit" w:cs="Arial"/>
          <w:color w:val="5A6874"/>
          <w:kern w:val="0"/>
          <w:sz w:val="24"/>
          <w:szCs w:val="24"/>
        </w:rPr>
        <w:t>。</w:t>
      </w:r>
    </w:p>
    <w:p w14:paraId="35751D4A"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 </w:t>
      </w:r>
    </w:p>
    <w:p w14:paraId="68F171A1"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图：投资组合保证金机制下资金效率对比</w:t>
      </w:r>
    </w:p>
    <w:p w14:paraId="11A10DD9" w14:textId="1A35544E"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hint="eastAsia"/>
          <w:noProof/>
          <w:color w:val="5A6874"/>
          <w:kern w:val="0"/>
          <w:sz w:val="24"/>
          <w:szCs w:val="24"/>
        </w:rPr>
        <mc:AlternateContent>
          <mc:Choice Requires="wps">
            <w:drawing>
              <wp:inline distT="0" distB="0" distL="0" distR="0" wp14:anchorId="0DD24F4B" wp14:editId="0F4D0E96">
                <wp:extent cx="304800" cy="304800"/>
                <wp:effectExtent l="0" t="0" r="0" b="0"/>
                <wp:docPr id="1528355905"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114C6"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9D07EF"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 </w:t>
      </w:r>
    </w:p>
    <w:p w14:paraId="25464E51" w14:textId="77777777" w:rsidR="00086929" w:rsidRPr="00086929" w:rsidRDefault="00086929" w:rsidP="00086929">
      <w:pPr>
        <w:widowControl/>
        <w:spacing w:before="240"/>
        <w:jc w:val="left"/>
        <w:textAlignment w:val="baseline"/>
        <w:rPr>
          <w:rFonts w:ascii="inherit" w:eastAsia="宋体" w:hAnsi="inherit" w:cs="Arial"/>
          <w:color w:val="5A6874"/>
          <w:kern w:val="0"/>
          <w:sz w:val="24"/>
          <w:szCs w:val="24"/>
        </w:rPr>
      </w:pPr>
      <w:r w:rsidRPr="00086929">
        <w:rPr>
          <w:rFonts w:ascii="inherit" w:eastAsia="宋体" w:hAnsi="inherit" w:cs="Arial"/>
          <w:color w:val="5A6874"/>
          <w:kern w:val="0"/>
          <w:sz w:val="24"/>
          <w:szCs w:val="24"/>
        </w:rPr>
        <w:t>另据</w:t>
      </w:r>
      <w:proofErr w:type="gramStart"/>
      <w:r w:rsidRPr="00086929">
        <w:rPr>
          <w:rFonts w:ascii="inherit" w:eastAsia="宋体" w:hAnsi="inherit" w:cs="Arial"/>
          <w:color w:val="5A6874"/>
          <w:kern w:val="0"/>
          <w:sz w:val="24"/>
          <w:szCs w:val="24"/>
        </w:rPr>
        <w:t>芝商所数据</w:t>
      </w:r>
      <w:proofErr w:type="gramEnd"/>
      <w:r w:rsidRPr="00086929">
        <w:rPr>
          <w:rFonts w:ascii="inherit" w:eastAsia="宋体" w:hAnsi="inherit" w:cs="Arial"/>
          <w:color w:val="5A6874"/>
          <w:kern w:val="0"/>
          <w:sz w:val="24"/>
          <w:szCs w:val="24"/>
        </w:rPr>
        <w:t>显示，旗下利率期权产品流动性不断上升。今年</w:t>
      </w:r>
      <w:r w:rsidRPr="00086929">
        <w:rPr>
          <w:rFonts w:ascii="inherit" w:eastAsia="宋体" w:hAnsi="inherit" w:cs="Arial"/>
          <w:color w:val="5A6874"/>
          <w:kern w:val="0"/>
          <w:sz w:val="24"/>
          <w:szCs w:val="24"/>
        </w:rPr>
        <w:t>1</w:t>
      </w:r>
      <w:r w:rsidRPr="00086929">
        <w:rPr>
          <w:rFonts w:ascii="inherit" w:eastAsia="宋体" w:hAnsi="inherit" w:cs="Arial"/>
          <w:color w:val="5A6874"/>
          <w:kern w:val="0"/>
          <w:sz w:val="24"/>
          <w:szCs w:val="24"/>
        </w:rPr>
        <w:t>月与</w:t>
      </w:r>
      <w:r w:rsidRPr="00086929">
        <w:rPr>
          <w:rFonts w:ascii="inherit" w:eastAsia="宋体" w:hAnsi="inherit" w:cs="Arial"/>
          <w:color w:val="5A6874"/>
          <w:kern w:val="0"/>
          <w:sz w:val="24"/>
          <w:szCs w:val="24"/>
        </w:rPr>
        <w:t>10</w:t>
      </w:r>
      <w:r w:rsidRPr="00086929">
        <w:rPr>
          <w:rFonts w:ascii="inherit" w:eastAsia="宋体" w:hAnsi="inherit" w:cs="Arial"/>
          <w:color w:val="5A6874"/>
          <w:kern w:val="0"/>
          <w:sz w:val="24"/>
          <w:szCs w:val="24"/>
        </w:rPr>
        <w:t>年超长期国债期货（</w:t>
      </w:r>
      <w:r w:rsidRPr="00086929">
        <w:rPr>
          <w:rFonts w:ascii="inherit" w:eastAsia="宋体" w:hAnsi="inherit" w:cs="Arial"/>
          <w:color w:val="5A6874"/>
          <w:kern w:val="0"/>
          <w:sz w:val="24"/>
          <w:szCs w:val="24"/>
        </w:rPr>
        <w:t>Ultra 10</w:t>
      </w:r>
      <w:r w:rsidRPr="00086929">
        <w:rPr>
          <w:rFonts w:ascii="inherit" w:eastAsia="宋体" w:hAnsi="inherit" w:cs="Arial"/>
          <w:color w:val="5A6874"/>
          <w:kern w:val="0"/>
          <w:sz w:val="24"/>
          <w:szCs w:val="24"/>
        </w:rPr>
        <w:t>）同时推出的</w:t>
      </w:r>
      <w:r w:rsidRPr="00086929">
        <w:rPr>
          <w:rFonts w:ascii="inherit" w:eastAsia="宋体" w:hAnsi="inherit" w:cs="Arial"/>
          <w:color w:val="5A6874"/>
          <w:kern w:val="0"/>
          <w:sz w:val="24"/>
          <w:szCs w:val="24"/>
        </w:rPr>
        <w:t>10</w:t>
      </w:r>
      <w:r w:rsidRPr="00086929">
        <w:rPr>
          <w:rFonts w:ascii="inherit" w:eastAsia="宋体" w:hAnsi="inherit" w:cs="Arial"/>
          <w:color w:val="5A6874"/>
          <w:kern w:val="0"/>
          <w:sz w:val="24"/>
          <w:szCs w:val="24"/>
        </w:rPr>
        <w:t>年超长期国债期权，标的为</w:t>
      </w:r>
      <w:r w:rsidRPr="00086929">
        <w:rPr>
          <w:rFonts w:ascii="inherit" w:eastAsia="宋体" w:hAnsi="inherit" w:cs="Arial"/>
          <w:color w:val="5A6874"/>
          <w:kern w:val="0"/>
          <w:sz w:val="24"/>
          <w:szCs w:val="24"/>
        </w:rPr>
        <w:t>Ultra 10</w:t>
      </w:r>
      <w:proofErr w:type="gramStart"/>
      <w:r w:rsidRPr="00086929">
        <w:rPr>
          <w:rFonts w:ascii="inherit" w:eastAsia="宋体" w:hAnsi="inherit" w:cs="Arial"/>
          <w:color w:val="5A6874"/>
          <w:kern w:val="0"/>
          <w:sz w:val="24"/>
          <w:szCs w:val="24"/>
        </w:rPr>
        <w:t>十二</w:t>
      </w:r>
      <w:proofErr w:type="gramEnd"/>
      <w:r w:rsidRPr="00086929">
        <w:rPr>
          <w:rFonts w:ascii="inherit" w:eastAsia="宋体" w:hAnsi="inherit" w:cs="Arial"/>
          <w:color w:val="5A6874"/>
          <w:kern w:val="0"/>
          <w:sz w:val="24"/>
          <w:szCs w:val="24"/>
        </w:rPr>
        <w:t>月期货合约的期权合约今年已交易超过</w:t>
      </w:r>
      <w:r w:rsidRPr="00086929">
        <w:rPr>
          <w:rFonts w:ascii="inherit" w:eastAsia="宋体" w:hAnsi="inherit" w:cs="Arial"/>
          <w:color w:val="5A6874"/>
          <w:kern w:val="0"/>
          <w:sz w:val="24"/>
          <w:szCs w:val="24"/>
        </w:rPr>
        <w:t>32000</w:t>
      </w:r>
      <w:r w:rsidRPr="00086929">
        <w:rPr>
          <w:rFonts w:ascii="inherit" w:eastAsia="宋体" w:hAnsi="inherit" w:cs="Arial"/>
          <w:color w:val="5A6874"/>
          <w:kern w:val="0"/>
          <w:sz w:val="24"/>
          <w:szCs w:val="24"/>
        </w:rPr>
        <w:t>张合约，持仓量超过</w:t>
      </w:r>
      <w:r w:rsidRPr="00086929">
        <w:rPr>
          <w:rFonts w:ascii="inherit" w:eastAsia="宋体" w:hAnsi="inherit" w:cs="Arial"/>
          <w:color w:val="5A6874"/>
          <w:kern w:val="0"/>
          <w:sz w:val="24"/>
          <w:szCs w:val="24"/>
        </w:rPr>
        <w:t>16000</w:t>
      </w:r>
      <w:r w:rsidRPr="00086929">
        <w:rPr>
          <w:rFonts w:ascii="inherit" w:eastAsia="宋体" w:hAnsi="inherit" w:cs="Arial"/>
          <w:color w:val="5A6874"/>
          <w:kern w:val="0"/>
          <w:sz w:val="24"/>
          <w:szCs w:val="24"/>
        </w:rPr>
        <w:t>张合约。国债期权产品在</w:t>
      </w:r>
      <w:r w:rsidRPr="00086929">
        <w:rPr>
          <w:rFonts w:ascii="inherit" w:eastAsia="宋体" w:hAnsi="inherit" w:cs="Arial"/>
          <w:color w:val="5A6874"/>
          <w:kern w:val="0"/>
          <w:sz w:val="24"/>
          <w:szCs w:val="24"/>
        </w:rPr>
        <w:t>10</w:t>
      </w:r>
      <w:r w:rsidRPr="00086929">
        <w:rPr>
          <w:rFonts w:ascii="inherit" w:eastAsia="宋体" w:hAnsi="inherit" w:cs="Arial"/>
          <w:color w:val="5A6874"/>
          <w:kern w:val="0"/>
          <w:sz w:val="24"/>
          <w:szCs w:val="24"/>
        </w:rPr>
        <w:t>月份成交量上升至约</w:t>
      </w:r>
      <w:r w:rsidRPr="00086929">
        <w:rPr>
          <w:rFonts w:ascii="inherit" w:eastAsia="宋体" w:hAnsi="inherit" w:cs="Arial"/>
          <w:color w:val="5A6874"/>
          <w:kern w:val="0"/>
          <w:sz w:val="24"/>
          <w:szCs w:val="24"/>
        </w:rPr>
        <w:t>329000</w:t>
      </w:r>
      <w:r w:rsidRPr="00086929">
        <w:rPr>
          <w:rFonts w:ascii="inherit" w:eastAsia="宋体" w:hAnsi="inherit" w:cs="Arial"/>
          <w:color w:val="5A6874"/>
          <w:kern w:val="0"/>
          <w:sz w:val="24"/>
          <w:szCs w:val="24"/>
        </w:rPr>
        <w:t>手，其中电子交易占比为</w:t>
      </w:r>
      <w:r w:rsidRPr="00086929">
        <w:rPr>
          <w:rFonts w:ascii="inherit" w:eastAsia="宋体" w:hAnsi="inherit" w:cs="Arial"/>
          <w:color w:val="5A6874"/>
          <w:kern w:val="0"/>
          <w:sz w:val="24"/>
          <w:szCs w:val="24"/>
        </w:rPr>
        <w:t>73%</w:t>
      </w:r>
      <w:r w:rsidRPr="00086929">
        <w:rPr>
          <w:rFonts w:ascii="inherit" w:eastAsia="宋体" w:hAnsi="inherit" w:cs="Arial"/>
          <w:color w:val="5A6874"/>
          <w:kern w:val="0"/>
          <w:sz w:val="24"/>
          <w:szCs w:val="24"/>
        </w:rPr>
        <w:t>。</w:t>
      </w:r>
    </w:p>
    <w:p w14:paraId="1724E458" w14:textId="77777777" w:rsidR="006B5749" w:rsidRDefault="006B5749"/>
    <w:p w14:paraId="417B7F37" w14:textId="115FAB1D" w:rsidR="00816A84" w:rsidRDefault="00816A84">
      <w:hyperlink r:id="rId7" w:history="1">
        <w:r w:rsidRPr="00047C81">
          <w:rPr>
            <w:rStyle w:val="a8"/>
          </w:rPr>
          <w:t>https://www.cmegroup.com/cn-s/education/futures-daily/2016-11-29.html</w:t>
        </w:r>
      </w:hyperlink>
    </w:p>
    <w:p w14:paraId="712B4AEB" w14:textId="77777777" w:rsidR="00816A84" w:rsidRPr="00816A84" w:rsidRDefault="00816A84">
      <w:pPr>
        <w:rPr>
          <w:rFonts w:hint="eastAsia"/>
        </w:rPr>
      </w:pPr>
    </w:p>
    <w:sectPr w:rsidR="00816A84" w:rsidRPr="00816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EAC9F" w14:textId="77777777" w:rsidR="00254164" w:rsidRDefault="00254164" w:rsidP="00086929">
      <w:r>
        <w:separator/>
      </w:r>
    </w:p>
  </w:endnote>
  <w:endnote w:type="continuationSeparator" w:id="0">
    <w:p w14:paraId="3E9979A3" w14:textId="77777777" w:rsidR="00254164" w:rsidRDefault="00254164" w:rsidP="0008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FE39E" w14:textId="77777777" w:rsidR="00254164" w:rsidRDefault="00254164" w:rsidP="00086929">
      <w:r>
        <w:separator/>
      </w:r>
    </w:p>
  </w:footnote>
  <w:footnote w:type="continuationSeparator" w:id="0">
    <w:p w14:paraId="3A9F1AAB" w14:textId="77777777" w:rsidR="00254164" w:rsidRDefault="00254164" w:rsidP="00086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A4286"/>
    <w:multiLevelType w:val="multilevel"/>
    <w:tmpl w:val="C676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927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D1"/>
    <w:rsid w:val="00060CC5"/>
    <w:rsid w:val="00086929"/>
    <w:rsid w:val="00254164"/>
    <w:rsid w:val="005751D1"/>
    <w:rsid w:val="006B5749"/>
    <w:rsid w:val="007311BF"/>
    <w:rsid w:val="00816A84"/>
    <w:rsid w:val="00A54579"/>
    <w:rsid w:val="00C15934"/>
    <w:rsid w:val="00D035AC"/>
    <w:rsid w:val="00FF1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EAFB"/>
  <w15:chartTrackingRefBased/>
  <w15:docId w15:val="{DB1F0E94-3C77-4786-AB61-27A24BF4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69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6929"/>
    <w:pPr>
      <w:tabs>
        <w:tab w:val="center" w:pos="4153"/>
        <w:tab w:val="right" w:pos="8306"/>
      </w:tabs>
      <w:snapToGrid w:val="0"/>
      <w:jc w:val="center"/>
    </w:pPr>
    <w:rPr>
      <w:sz w:val="18"/>
      <w:szCs w:val="18"/>
    </w:rPr>
  </w:style>
  <w:style w:type="character" w:customStyle="1" w:styleId="a4">
    <w:name w:val="页眉 字符"/>
    <w:basedOn w:val="a0"/>
    <w:link w:val="a3"/>
    <w:uiPriority w:val="99"/>
    <w:rsid w:val="00086929"/>
    <w:rPr>
      <w:sz w:val="18"/>
      <w:szCs w:val="18"/>
    </w:rPr>
  </w:style>
  <w:style w:type="paragraph" w:styleId="a5">
    <w:name w:val="footer"/>
    <w:basedOn w:val="a"/>
    <w:link w:val="a6"/>
    <w:uiPriority w:val="99"/>
    <w:unhideWhenUsed/>
    <w:rsid w:val="00086929"/>
    <w:pPr>
      <w:tabs>
        <w:tab w:val="center" w:pos="4153"/>
        <w:tab w:val="right" w:pos="8306"/>
      </w:tabs>
      <w:snapToGrid w:val="0"/>
      <w:jc w:val="left"/>
    </w:pPr>
    <w:rPr>
      <w:sz w:val="18"/>
      <w:szCs w:val="18"/>
    </w:rPr>
  </w:style>
  <w:style w:type="character" w:customStyle="1" w:styleId="a6">
    <w:name w:val="页脚 字符"/>
    <w:basedOn w:val="a0"/>
    <w:link w:val="a5"/>
    <w:uiPriority w:val="99"/>
    <w:rsid w:val="00086929"/>
    <w:rPr>
      <w:sz w:val="18"/>
      <w:szCs w:val="18"/>
    </w:rPr>
  </w:style>
  <w:style w:type="character" w:customStyle="1" w:styleId="10">
    <w:name w:val="标题 1 字符"/>
    <w:basedOn w:val="a0"/>
    <w:link w:val="1"/>
    <w:uiPriority w:val="9"/>
    <w:rsid w:val="00086929"/>
    <w:rPr>
      <w:rFonts w:ascii="宋体" w:eastAsia="宋体" w:hAnsi="宋体" w:cs="宋体"/>
      <w:b/>
      <w:bCs/>
      <w:kern w:val="36"/>
      <w:sz w:val="48"/>
      <w:szCs w:val="48"/>
    </w:rPr>
  </w:style>
  <w:style w:type="paragraph" w:styleId="a7">
    <w:name w:val="Normal (Web)"/>
    <w:basedOn w:val="a"/>
    <w:uiPriority w:val="99"/>
    <w:semiHidden/>
    <w:unhideWhenUsed/>
    <w:rsid w:val="0008692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816A84"/>
    <w:rPr>
      <w:color w:val="0563C1" w:themeColor="hyperlink"/>
      <w:u w:val="single"/>
    </w:rPr>
  </w:style>
  <w:style w:type="character" w:styleId="a9">
    <w:name w:val="Unresolved Mention"/>
    <w:basedOn w:val="a0"/>
    <w:uiPriority w:val="99"/>
    <w:semiHidden/>
    <w:unhideWhenUsed/>
    <w:rsid w:val="00816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65429">
      <w:bodyDiv w:val="1"/>
      <w:marLeft w:val="0"/>
      <w:marRight w:val="0"/>
      <w:marTop w:val="0"/>
      <w:marBottom w:val="0"/>
      <w:divBdr>
        <w:top w:val="none" w:sz="0" w:space="0" w:color="auto"/>
        <w:left w:val="none" w:sz="0" w:space="0" w:color="auto"/>
        <w:bottom w:val="none" w:sz="0" w:space="0" w:color="auto"/>
        <w:right w:val="none" w:sz="0" w:space="0" w:color="auto"/>
      </w:divBdr>
      <w:divsChild>
        <w:div w:id="1688629712">
          <w:marLeft w:val="0"/>
          <w:marRight w:val="0"/>
          <w:marTop w:val="0"/>
          <w:marBottom w:val="0"/>
          <w:divBdr>
            <w:top w:val="none" w:sz="0" w:space="0" w:color="auto"/>
            <w:left w:val="none" w:sz="0" w:space="0" w:color="auto"/>
            <w:bottom w:val="none" w:sz="0" w:space="0" w:color="auto"/>
            <w:right w:val="none" w:sz="0" w:space="0" w:color="auto"/>
          </w:divBdr>
        </w:div>
        <w:div w:id="2134670572">
          <w:marLeft w:val="0"/>
          <w:marRight w:val="0"/>
          <w:marTop w:val="150"/>
          <w:marBottom w:val="150"/>
          <w:divBdr>
            <w:top w:val="single" w:sz="6" w:space="4" w:color="C2CACE"/>
            <w:left w:val="none" w:sz="0" w:space="0" w:color="auto"/>
            <w:bottom w:val="single" w:sz="6" w:space="4" w:color="C2CACE"/>
            <w:right w:val="none" w:sz="0" w:space="0" w:color="auto"/>
          </w:divBdr>
        </w:div>
        <w:div w:id="1240752028">
          <w:marLeft w:val="0"/>
          <w:marRight w:val="0"/>
          <w:marTop w:val="300"/>
          <w:marBottom w:val="240"/>
          <w:divBdr>
            <w:top w:val="none" w:sz="0" w:space="0" w:color="auto"/>
            <w:left w:val="none" w:sz="0" w:space="0" w:color="auto"/>
            <w:bottom w:val="none" w:sz="0" w:space="0" w:color="auto"/>
            <w:right w:val="none" w:sz="0" w:space="0" w:color="auto"/>
          </w:divBdr>
          <w:divsChild>
            <w:div w:id="638195832">
              <w:marLeft w:val="0"/>
              <w:marRight w:val="0"/>
              <w:marTop w:val="0"/>
              <w:marBottom w:val="0"/>
              <w:divBdr>
                <w:top w:val="none" w:sz="0" w:space="0" w:color="auto"/>
                <w:left w:val="none" w:sz="0" w:space="0" w:color="auto"/>
                <w:bottom w:val="none" w:sz="0" w:space="0" w:color="auto"/>
                <w:right w:val="none" w:sz="0" w:space="0" w:color="auto"/>
              </w:divBdr>
              <w:divsChild>
                <w:div w:id="2099017791">
                  <w:marLeft w:val="0"/>
                  <w:marRight w:val="0"/>
                  <w:marTop w:val="0"/>
                  <w:marBottom w:val="0"/>
                  <w:divBdr>
                    <w:top w:val="none" w:sz="0" w:space="0" w:color="auto"/>
                    <w:left w:val="none" w:sz="0" w:space="0" w:color="auto"/>
                    <w:bottom w:val="none" w:sz="0" w:space="0" w:color="auto"/>
                    <w:right w:val="none" w:sz="0" w:space="0" w:color="auto"/>
                  </w:divBdr>
                  <w:divsChild>
                    <w:div w:id="2080011472">
                      <w:marLeft w:val="0"/>
                      <w:marRight w:val="0"/>
                      <w:marTop w:val="0"/>
                      <w:marBottom w:val="0"/>
                      <w:divBdr>
                        <w:top w:val="none" w:sz="0" w:space="0" w:color="auto"/>
                        <w:left w:val="none" w:sz="0" w:space="0" w:color="auto"/>
                        <w:bottom w:val="none" w:sz="0" w:space="0" w:color="auto"/>
                        <w:right w:val="none" w:sz="0" w:space="0" w:color="auto"/>
                      </w:divBdr>
                      <w:divsChild>
                        <w:div w:id="1633174276">
                          <w:marLeft w:val="0"/>
                          <w:marRight w:val="0"/>
                          <w:marTop w:val="0"/>
                          <w:marBottom w:val="0"/>
                          <w:divBdr>
                            <w:top w:val="none" w:sz="0" w:space="0" w:color="auto"/>
                            <w:left w:val="none" w:sz="0" w:space="0" w:color="auto"/>
                            <w:bottom w:val="none" w:sz="0" w:space="0" w:color="auto"/>
                            <w:right w:val="none" w:sz="0" w:space="0" w:color="auto"/>
                          </w:divBdr>
                          <w:divsChild>
                            <w:div w:id="1528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megroup.com/cn-s/education/futures-daily/2016-11-2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12</cp:revision>
  <dcterms:created xsi:type="dcterms:W3CDTF">2023-09-06T06:54:00Z</dcterms:created>
  <dcterms:modified xsi:type="dcterms:W3CDTF">2023-09-06T07:09:00Z</dcterms:modified>
</cp:coreProperties>
</file>