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7CD1" w14:textId="77777777" w:rsidR="0010574D" w:rsidRPr="0010574D" w:rsidRDefault="0010574D" w:rsidP="0010574D">
      <w:pPr>
        <w:widowControl/>
        <w:pBdr>
          <w:bottom w:val="single" w:sz="6" w:space="8" w:color="112E7C"/>
        </w:pBdr>
        <w:shd w:val="clear" w:color="auto" w:fill="FFFFFF"/>
        <w:spacing w:after="150" w:line="630" w:lineRule="atLeast"/>
        <w:jc w:val="center"/>
        <w:outlineLvl w:val="0"/>
        <w:rPr>
          <w:rFonts w:ascii="Arial" w:eastAsia="宋体" w:hAnsi="Arial" w:cs="Arial"/>
          <w:color w:val="666666"/>
          <w:kern w:val="36"/>
          <w:sz w:val="36"/>
          <w:szCs w:val="36"/>
        </w:rPr>
      </w:pPr>
      <w:r w:rsidRPr="0010574D">
        <w:rPr>
          <w:rFonts w:ascii="Arial" w:eastAsia="宋体" w:hAnsi="Arial" w:cs="Arial"/>
          <w:color w:val="666666"/>
          <w:kern w:val="36"/>
          <w:sz w:val="36"/>
          <w:szCs w:val="36"/>
        </w:rPr>
        <w:t>SPAN</w:t>
      </w:r>
      <w:r w:rsidRPr="0010574D">
        <w:rPr>
          <w:rFonts w:ascii="Arial" w:eastAsia="宋体" w:hAnsi="Arial" w:cs="Arial"/>
          <w:color w:val="666666"/>
          <w:kern w:val="36"/>
          <w:sz w:val="36"/>
          <w:szCs w:val="36"/>
        </w:rPr>
        <w:t>系统与衍生品市场的风险管理</w:t>
      </w:r>
    </w:p>
    <w:p w14:paraId="24B259DC" w14:textId="77777777" w:rsidR="0010574D" w:rsidRPr="0010574D" w:rsidRDefault="0010574D" w:rsidP="0010574D">
      <w:pPr>
        <w:widowControl/>
        <w:shd w:val="clear" w:color="auto" w:fill="FFFFFF"/>
        <w:spacing w:after="240"/>
        <w:jc w:val="right"/>
        <w:rPr>
          <w:rFonts w:ascii="Arial" w:eastAsia="宋体" w:hAnsi="Arial" w:cs="Arial"/>
          <w:color w:val="112E7C"/>
          <w:kern w:val="0"/>
          <w:szCs w:val="21"/>
        </w:rPr>
      </w:pPr>
      <w:r w:rsidRPr="0010574D">
        <w:rPr>
          <w:rFonts w:ascii="Arial" w:eastAsia="宋体" w:hAnsi="Arial" w:cs="Arial"/>
          <w:color w:val="112E7C"/>
          <w:kern w:val="0"/>
          <w:szCs w:val="21"/>
        </w:rPr>
        <w:t>发布日期：</w:t>
      </w:r>
      <w:r w:rsidRPr="0010574D">
        <w:rPr>
          <w:rFonts w:ascii="Arial" w:eastAsia="宋体" w:hAnsi="Arial" w:cs="Arial"/>
          <w:color w:val="112E7C"/>
          <w:kern w:val="0"/>
          <w:szCs w:val="21"/>
        </w:rPr>
        <w:t>2004-03-26</w:t>
      </w:r>
    </w:p>
    <w:p w14:paraId="692E1108" w14:textId="77777777" w:rsidR="0010574D" w:rsidRPr="0010574D" w:rsidRDefault="0010574D" w:rsidP="0010574D">
      <w:pPr>
        <w:widowControl/>
        <w:shd w:val="clear" w:color="auto" w:fill="FFFFFF"/>
        <w:jc w:val="center"/>
        <w:rPr>
          <w:rFonts w:ascii="Arial" w:eastAsia="宋体" w:hAnsi="Arial" w:cs="Arial"/>
          <w:color w:val="212121"/>
          <w:kern w:val="0"/>
          <w:szCs w:val="21"/>
        </w:rPr>
      </w:pPr>
      <w:r w:rsidRPr="0010574D">
        <w:rPr>
          <w:rFonts w:ascii="Arial" w:eastAsia="宋体" w:hAnsi="Arial" w:cs="Arial"/>
          <w:color w:val="212121"/>
          <w:kern w:val="0"/>
          <w:szCs w:val="21"/>
        </w:rPr>
        <w:t>上海期货交易所</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系统项目小组</w:t>
      </w:r>
    </w:p>
    <w:p w14:paraId="27503E05"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3D1687">
        <w:rPr>
          <w:rFonts w:ascii="Arial" w:eastAsia="宋体" w:hAnsi="Arial" w:cs="Arial"/>
          <w:color w:val="212121"/>
          <w:kern w:val="0"/>
          <w:szCs w:val="21"/>
          <w:highlight w:val="yellow"/>
        </w:rPr>
        <w:t>风险管理水平</w:t>
      </w:r>
      <w:r w:rsidRPr="0010574D">
        <w:rPr>
          <w:rFonts w:ascii="Arial" w:eastAsia="宋体" w:hAnsi="Arial" w:cs="Arial"/>
          <w:color w:val="212121"/>
          <w:kern w:val="0"/>
          <w:szCs w:val="21"/>
        </w:rPr>
        <w:t>是衡量一个</w:t>
      </w:r>
      <w:r w:rsidRPr="003D1687">
        <w:rPr>
          <w:rFonts w:ascii="Arial" w:eastAsia="宋体" w:hAnsi="Arial" w:cs="Arial"/>
          <w:color w:val="212121"/>
          <w:kern w:val="0"/>
          <w:szCs w:val="21"/>
          <w:highlight w:val="yellow"/>
        </w:rPr>
        <w:t>衍生品市场参与者</w:t>
      </w:r>
      <w:r w:rsidRPr="0010574D">
        <w:rPr>
          <w:rFonts w:ascii="Arial" w:eastAsia="宋体" w:hAnsi="Arial" w:cs="Arial"/>
          <w:color w:val="212121"/>
          <w:kern w:val="0"/>
          <w:szCs w:val="21"/>
        </w:rPr>
        <w:t>、一个</w:t>
      </w:r>
      <w:r w:rsidRPr="003D1687">
        <w:rPr>
          <w:rFonts w:ascii="Arial" w:eastAsia="宋体" w:hAnsi="Arial" w:cs="Arial"/>
          <w:color w:val="212121"/>
          <w:kern w:val="0"/>
          <w:szCs w:val="21"/>
          <w:highlight w:val="yellow"/>
        </w:rPr>
        <w:t>交易所</w:t>
      </w:r>
      <w:r w:rsidRPr="0010574D">
        <w:rPr>
          <w:rFonts w:ascii="Arial" w:eastAsia="宋体" w:hAnsi="Arial" w:cs="Arial"/>
          <w:color w:val="212121"/>
          <w:kern w:val="0"/>
          <w:szCs w:val="21"/>
        </w:rPr>
        <w:t>乃至整个衍生品市场</w:t>
      </w:r>
      <w:r w:rsidRPr="003D1687">
        <w:rPr>
          <w:rFonts w:ascii="Arial" w:eastAsia="宋体" w:hAnsi="Arial" w:cs="Arial"/>
          <w:color w:val="212121"/>
          <w:kern w:val="0"/>
          <w:szCs w:val="21"/>
          <w:highlight w:val="yellow"/>
        </w:rPr>
        <w:t>成熟程度</w:t>
      </w:r>
      <w:r w:rsidRPr="0010574D">
        <w:rPr>
          <w:rFonts w:ascii="Arial" w:eastAsia="宋体" w:hAnsi="Arial" w:cs="Arial"/>
          <w:color w:val="212121"/>
          <w:kern w:val="0"/>
          <w:szCs w:val="21"/>
        </w:rPr>
        <w:t>的重要指标。由于市场风险中的</w:t>
      </w:r>
      <w:r w:rsidRPr="003D1687">
        <w:rPr>
          <w:rFonts w:ascii="Arial" w:eastAsia="宋体" w:hAnsi="Arial" w:cs="Arial"/>
          <w:color w:val="212121"/>
          <w:kern w:val="0"/>
          <w:szCs w:val="21"/>
          <w:highlight w:val="yellow"/>
        </w:rPr>
        <w:t>各种风险因素相互关联，难以独立评估</w:t>
      </w:r>
      <w:r w:rsidRPr="0010574D">
        <w:rPr>
          <w:rFonts w:ascii="Arial" w:eastAsia="宋体" w:hAnsi="Arial" w:cs="Arial"/>
          <w:color w:val="212121"/>
          <w:kern w:val="0"/>
          <w:szCs w:val="21"/>
        </w:rPr>
        <w:t>，因此无论市场的参与者还是交易所都需要一种综合指标来</w:t>
      </w:r>
      <w:proofErr w:type="gramStart"/>
      <w:r w:rsidRPr="0010574D">
        <w:rPr>
          <w:rFonts w:ascii="Arial" w:eastAsia="宋体" w:hAnsi="Arial" w:cs="Arial"/>
          <w:color w:val="212121"/>
          <w:kern w:val="0"/>
          <w:szCs w:val="21"/>
        </w:rPr>
        <w:t>刻划</w:t>
      </w:r>
      <w:proofErr w:type="gramEnd"/>
      <w:r w:rsidRPr="0010574D">
        <w:rPr>
          <w:rFonts w:ascii="Arial" w:eastAsia="宋体" w:hAnsi="Arial" w:cs="Arial"/>
          <w:color w:val="212121"/>
          <w:kern w:val="0"/>
          <w:szCs w:val="21"/>
        </w:rPr>
        <w:t>它们面对的整体市场风险。</w:t>
      </w:r>
    </w:p>
    <w:p w14:paraId="4C67FEB0"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目前在市场上运用</w:t>
      </w:r>
      <w:r w:rsidRPr="003D1687">
        <w:rPr>
          <w:rFonts w:ascii="Arial" w:eastAsia="宋体" w:hAnsi="Arial" w:cs="Arial"/>
          <w:color w:val="212121"/>
          <w:kern w:val="0"/>
          <w:szCs w:val="21"/>
          <w:highlight w:val="yellow"/>
        </w:rPr>
        <w:t>最广</w:t>
      </w:r>
      <w:r w:rsidRPr="0010574D">
        <w:rPr>
          <w:rFonts w:ascii="Arial" w:eastAsia="宋体" w:hAnsi="Arial" w:cs="Arial"/>
          <w:color w:val="212121"/>
          <w:kern w:val="0"/>
          <w:szCs w:val="21"/>
        </w:rPr>
        <w:t>的综合性风险衡量指标体系是基于</w:t>
      </w:r>
      <w:proofErr w:type="spellStart"/>
      <w:r w:rsidRPr="003D1687">
        <w:rPr>
          <w:rFonts w:ascii="Arial" w:eastAsia="宋体" w:hAnsi="Arial" w:cs="Arial"/>
          <w:color w:val="212121"/>
          <w:kern w:val="0"/>
          <w:szCs w:val="21"/>
          <w:highlight w:val="yellow"/>
        </w:rPr>
        <w:t>VaR</w:t>
      </w:r>
      <w:proofErr w:type="spellEnd"/>
      <w:r w:rsidRPr="0010574D">
        <w:rPr>
          <w:rFonts w:ascii="Arial" w:eastAsia="宋体" w:hAnsi="Arial" w:cs="Arial"/>
          <w:color w:val="212121"/>
          <w:kern w:val="0"/>
          <w:szCs w:val="21"/>
        </w:rPr>
        <w:t>理念的指标体系。</w:t>
      </w:r>
      <w:proofErr w:type="spellStart"/>
      <w:r w:rsidRPr="0010574D">
        <w:rPr>
          <w:rFonts w:ascii="Arial" w:eastAsia="宋体" w:hAnsi="Arial" w:cs="Arial"/>
          <w:color w:val="212121"/>
          <w:kern w:val="0"/>
          <w:szCs w:val="21"/>
        </w:rPr>
        <w:t>VaR</w:t>
      </w:r>
      <w:proofErr w:type="spellEnd"/>
      <w:r w:rsidRPr="0010574D">
        <w:rPr>
          <w:rFonts w:ascii="Arial" w:eastAsia="宋体" w:hAnsi="Arial" w:cs="Arial"/>
          <w:color w:val="212121"/>
          <w:kern w:val="0"/>
          <w:szCs w:val="21"/>
        </w:rPr>
        <w:t>理念的核心是</w:t>
      </w:r>
      <w:proofErr w:type="spellStart"/>
      <w:r w:rsidRPr="003D1687">
        <w:rPr>
          <w:rFonts w:ascii="Arial" w:eastAsia="宋体" w:hAnsi="Arial" w:cs="Arial"/>
          <w:color w:val="212121"/>
          <w:kern w:val="0"/>
          <w:szCs w:val="21"/>
          <w:highlight w:val="yellow"/>
        </w:rPr>
        <w:t>VaR</w:t>
      </w:r>
      <w:proofErr w:type="spellEnd"/>
      <w:r w:rsidRPr="003D1687">
        <w:rPr>
          <w:rFonts w:ascii="Arial" w:eastAsia="宋体" w:hAnsi="Arial" w:cs="Arial"/>
          <w:color w:val="212121"/>
          <w:kern w:val="0"/>
          <w:szCs w:val="21"/>
          <w:highlight w:val="yellow"/>
        </w:rPr>
        <w:t>风险值</w:t>
      </w:r>
      <w:r w:rsidRPr="0010574D">
        <w:rPr>
          <w:rFonts w:ascii="Arial" w:eastAsia="宋体" w:hAnsi="Arial" w:cs="Arial"/>
          <w:color w:val="212121"/>
          <w:kern w:val="0"/>
          <w:szCs w:val="21"/>
        </w:rPr>
        <w:t>，即一个</w:t>
      </w:r>
      <w:r w:rsidRPr="003D1687">
        <w:rPr>
          <w:rFonts w:ascii="Arial" w:eastAsia="宋体" w:hAnsi="Arial" w:cs="Arial"/>
          <w:color w:val="212121"/>
          <w:kern w:val="0"/>
          <w:szCs w:val="21"/>
          <w:highlight w:val="yellow"/>
        </w:rPr>
        <w:t>资产组合</w:t>
      </w:r>
      <w:r w:rsidRPr="0010574D">
        <w:rPr>
          <w:rFonts w:ascii="Arial" w:eastAsia="宋体" w:hAnsi="Arial" w:cs="Arial"/>
          <w:color w:val="212121"/>
          <w:kern w:val="0"/>
          <w:szCs w:val="21"/>
        </w:rPr>
        <w:t>在</w:t>
      </w:r>
      <w:r w:rsidRPr="003D1687">
        <w:rPr>
          <w:rFonts w:ascii="Arial" w:eastAsia="宋体" w:hAnsi="Arial" w:cs="Arial"/>
          <w:color w:val="212121"/>
          <w:kern w:val="0"/>
          <w:szCs w:val="21"/>
          <w:highlight w:val="yellow"/>
        </w:rPr>
        <w:t>特定持有期间</w:t>
      </w:r>
      <w:r w:rsidRPr="0010574D">
        <w:rPr>
          <w:rFonts w:ascii="Arial" w:eastAsia="宋体" w:hAnsi="Arial" w:cs="Arial"/>
          <w:color w:val="212121"/>
          <w:kern w:val="0"/>
          <w:szCs w:val="21"/>
        </w:rPr>
        <w:t>内以及</w:t>
      </w:r>
      <w:r w:rsidRPr="003D1687">
        <w:rPr>
          <w:rFonts w:ascii="Arial" w:eastAsia="宋体" w:hAnsi="Arial" w:cs="Arial"/>
          <w:color w:val="212121"/>
          <w:kern w:val="0"/>
          <w:szCs w:val="21"/>
          <w:highlight w:val="yellow"/>
        </w:rPr>
        <w:t>特定的置信区间</w:t>
      </w:r>
      <w:r w:rsidRPr="0010574D">
        <w:rPr>
          <w:rFonts w:ascii="Arial" w:eastAsia="宋体" w:hAnsi="Arial" w:cs="Arial"/>
          <w:color w:val="212121"/>
          <w:kern w:val="0"/>
          <w:szCs w:val="21"/>
        </w:rPr>
        <w:t>下，由于</w:t>
      </w:r>
      <w:r w:rsidRPr="003D1687">
        <w:rPr>
          <w:rFonts w:ascii="Arial" w:eastAsia="宋体" w:hAnsi="Arial" w:cs="Arial"/>
          <w:color w:val="212121"/>
          <w:kern w:val="0"/>
          <w:szCs w:val="21"/>
          <w:highlight w:val="yellow"/>
        </w:rPr>
        <w:t>市场价格变动</w:t>
      </w:r>
      <w:r w:rsidRPr="0010574D">
        <w:rPr>
          <w:rFonts w:ascii="Arial" w:eastAsia="宋体" w:hAnsi="Arial" w:cs="Arial"/>
          <w:color w:val="212121"/>
          <w:kern w:val="0"/>
          <w:szCs w:val="21"/>
        </w:rPr>
        <w:t>所导致此投资组合的</w:t>
      </w:r>
      <w:r w:rsidRPr="003D1687">
        <w:rPr>
          <w:rFonts w:ascii="Arial" w:eastAsia="宋体" w:hAnsi="Arial" w:cs="Arial"/>
          <w:color w:val="212121"/>
          <w:kern w:val="0"/>
          <w:szCs w:val="21"/>
          <w:highlight w:val="yellow"/>
        </w:rPr>
        <w:t>最大预期损失</w:t>
      </w:r>
      <w:r w:rsidRPr="0010574D">
        <w:rPr>
          <w:rFonts w:ascii="Arial" w:eastAsia="宋体" w:hAnsi="Arial" w:cs="Arial"/>
          <w:color w:val="212121"/>
          <w:kern w:val="0"/>
          <w:szCs w:val="21"/>
        </w:rPr>
        <w:t>。</w:t>
      </w:r>
    </w:p>
    <w:p w14:paraId="4CA27A9B"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在目前</w:t>
      </w:r>
      <w:r w:rsidRPr="003D1687">
        <w:rPr>
          <w:rFonts w:ascii="Arial" w:eastAsia="宋体" w:hAnsi="Arial" w:cs="Arial"/>
          <w:color w:val="212121"/>
          <w:kern w:val="0"/>
          <w:szCs w:val="21"/>
          <w:highlight w:val="yellow"/>
        </w:rPr>
        <w:t>衍生品市场</w:t>
      </w:r>
      <w:r w:rsidRPr="0010574D">
        <w:rPr>
          <w:rFonts w:ascii="Arial" w:eastAsia="宋体" w:hAnsi="Arial" w:cs="Arial"/>
          <w:color w:val="212121"/>
          <w:kern w:val="0"/>
          <w:szCs w:val="21"/>
        </w:rPr>
        <w:t>中，最成熟的</w:t>
      </w:r>
      <w:r w:rsidRPr="003D1687">
        <w:rPr>
          <w:rFonts w:ascii="Arial" w:eastAsia="宋体" w:hAnsi="Arial" w:cs="Arial"/>
          <w:color w:val="212121"/>
          <w:kern w:val="0"/>
          <w:szCs w:val="21"/>
          <w:highlight w:val="yellow"/>
        </w:rPr>
        <w:t>衡量投资组合风险值</w:t>
      </w:r>
      <w:r w:rsidRPr="0010574D">
        <w:rPr>
          <w:rFonts w:ascii="Arial" w:eastAsia="宋体" w:hAnsi="Arial" w:cs="Arial"/>
          <w:color w:val="212121"/>
          <w:kern w:val="0"/>
          <w:szCs w:val="21"/>
        </w:rPr>
        <w:t>的系统是</w:t>
      </w:r>
      <w:r w:rsidRPr="003D1687">
        <w:rPr>
          <w:rFonts w:ascii="Arial" w:eastAsia="宋体" w:hAnsi="Arial" w:cs="Arial"/>
          <w:color w:val="212121"/>
          <w:kern w:val="0"/>
          <w:szCs w:val="21"/>
          <w:highlight w:val="yellow"/>
        </w:rPr>
        <w:t>SPAN</w:t>
      </w:r>
      <w:r w:rsidRPr="003D1687">
        <w:rPr>
          <w:rFonts w:ascii="Arial" w:eastAsia="宋体" w:hAnsi="Arial" w:cs="Arial"/>
          <w:color w:val="212121"/>
          <w:kern w:val="0"/>
          <w:szCs w:val="21"/>
          <w:highlight w:val="yellow"/>
        </w:rPr>
        <w:t>（</w:t>
      </w:r>
      <w:r w:rsidRPr="003D1687">
        <w:rPr>
          <w:rFonts w:ascii="Arial" w:eastAsia="宋体" w:hAnsi="Arial" w:cs="Arial"/>
          <w:color w:val="212121"/>
          <w:kern w:val="0"/>
          <w:szCs w:val="21"/>
          <w:highlight w:val="yellow"/>
        </w:rPr>
        <w:t>Standard Portfolio Analysis of Risk</w:t>
      </w:r>
      <w:r w:rsidRPr="003D1687">
        <w:rPr>
          <w:rFonts w:ascii="Arial" w:eastAsia="宋体" w:hAnsi="Arial" w:cs="Arial"/>
          <w:color w:val="212121"/>
          <w:kern w:val="0"/>
          <w:szCs w:val="21"/>
          <w:highlight w:val="yellow"/>
        </w:rPr>
        <w:t>）</w:t>
      </w:r>
      <w:r w:rsidRPr="0010574D">
        <w:rPr>
          <w:rFonts w:ascii="Arial" w:eastAsia="宋体" w:hAnsi="Arial" w:cs="Arial"/>
          <w:color w:val="212121"/>
          <w:kern w:val="0"/>
          <w:szCs w:val="21"/>
        </w:rPr>
        <w:t>，其核心理念</w:t>
      </w:r>
      <w:r w:rsidRPr="003D1687">
        <w:rPr>
          <w:rFonts w:ascii="Arial" w:eastAsia="宋体" w:hAnsi="Arial" w:cs="Arial"/>
          <w:color w:val="212121"/>
          <w:kern w:val="0"/>
          <w:szCs w:val="21"/>
          <w:highlight w:val="yellow"/>
        </w:rPr>
        <w:t>与</w:t>
      </w:r>
      <w:commentRangeStart w:id="0"/>
      <w:proofErr w:type="spellStart"/>
      <w:r w:rsidRPr="003D1687">
        <w:rPr>
          <w:rFonts w:ascii="Arial" w:eastAsia="宋体" w:hAnsi="Arial" w:cs="Arial"/>
          <w:color w:val="212121"/>
          <w:kern w:val="0"/>
          <w:szCs w:val="21"/>
          <w:highlight w:val="yellow"/>
        </w:rPr>
        <w:t>VaR</w:t>
      </w:r>
      <w:commentRangeEnd w:id="0"/>
      <w:proofErr w:type="spellEnd"/>
      <w:r w:rsidR="003D1687">
        <w:rPr>
          <w:rStyle w:val="aa"/>
        </w:rPr>
        <w:commentReference w:id="0"/>
      </w:r>
      <w:r w:rsidRPr="003D1687">
        <w:rPr>
          <w:rFonts w:ascii="Arial" w:eastAsia="宋体" w:hAnsi="Arial" w:cs="Arial"/>
          <w:color w:val="212121"/>
          <w:kern w:val="0"/>
          <w:szCs w:val="21"/>
          <w:highlight w:val="yellow"/>
        </w:rPr>
        <w:t>具有异曲同工之妙</w:t>
      </w:r>
      <w:r w:rsidRPr="0010574D">
        <w:rPr>
          <w:rFonts w:ascii="Arial" w:eastAsia="宋体" w:hAnsi="Arial" w:cs="Arial"/>
          <w:color w:val="212121"/>
          <w:kern w:val="0"/>
          <w:szCs w:val="21"/>
        </w:rPr>
        <w:t>。该系统是由芝加哥商品交易所（</w:t>
      </w:r>
      <w:r w:rsidRPr="0010574D">
        <w:rPr>
          <w:rFonts w:ascii="Arial" w:eastAsia="宋体" w:hAnsi="Arial" w:cs="Arial"/>
          <w:color w:val="212121"/>
          <w:kern w:val="0"/>
          <w:szCs w:val="21"/>
        </w:rPr>
        <w:t>CME</w:t>
      </w:r>
      <w:r w:rsidRPr="0010574D">
        <w:rPr>
          <w:rFonts w:ascii="Arial" w:eastAsia="宋体" w:hAnsi="Arial" w:cs="Arial"/>
          <w:color w:val="212121"/>
          <w:kern w:val="0"/>
          <w:szCs w:val="21"/>
        </w:rPr>
        <w:t>）于</w:t>
      </w:r>
      <w:r w:rsidRPr="003D1687">
        <w:rPr>
          <w:rFonts w:ascii="Arial" w:eastAsia="宋体" w:hAnsi="Arial" w:cs="Arial"/>
          <w:color w:val="212121"/>
          <w:kern w:val="0"/>
          <w:szCs w:val="21"/>
          <w:highlight w:val="yellow"/>
        </w:rPr>
        <w:t>1988</w:t>
      </w:r>
      <w:r w:rsidRPr="003D1687">
        <w:rPr>
          <w:rFonts w:ascii="Arial" w:eastAsia="宋体" w:hAnsi="Arial" w:cs="Arial"/>
          <w:color w:val="212121"/>
          <w:kern w:val="0"/>
          <w:szCs w:val="21"/>
          <w:highlight w:val="yellow"/>
        </w:rPr>
        <w:t>年</w:t>
      </w:r>
      <w:r w:rsidRPr="003D1687">
        <w:rPr>
          <w:rFonts w:ascii="Arial" w:eastAsia="宋体" w:hAnsi="Arial" w:cs="Arial"/>
          <w:color w:val="212121"/>
          <w:kern w:val="0"/>
          <w:szCs w:val="21"/>
          <w:highlight w:val="yellow"/>
        </w:rPr>
        <w:t>12</w:t>
      </w:r>
      <w:r w:rsidRPr="003D1687">
        <w:rPr>
          <w:rFonts w:ascii="Arial" w:eastAsia="宋体" w:hAnsi="Arial" w:cs="Arial"/>
          <w:color w:val="212121"/>
          <w:kern w:val="0"/>
          <w:szCs w:val="21"/>
          <w:highlight w:val="yellow"/>
        </w:rPr>
        <w:t>月</w:t>
      </w:r>
      <w:r w:rsidRPr="003D1687">
        <w:rPr>
          <w:rFonts w:ascii="Arial" w:eastAsia="宋体" w:hAnsi="Arial" w:cs="Arial"/>
          <w:color w:val="212121"/>
          <w:kern w:val="0"/>
          <w:szCs w:val="21"/>
          <w:highlight w:val="yellow"/>
        </w:rPr>
        <w:t>16</w:t>
      </w:r>
      <w:r w:rsidRPr="003D1687">
        <w:rPr>
          <w:rFonts w:ascii="Arial" w:eastAsia="宋体" w:hAnsi="Arial" w:cs="Arial"/>
          <w:color w:val="212121"/>
          <w:kern w:val="0"/>
          <w:szCs w:val="21"/>
          <w:highlight w:val="yellow"/>
        </w:rPr>
        <w:t>日</w:t>
      </w:r>
      <w:r w:rsidRPr="0010574D">
        <w:rPr>
          <w:rFonts w:ascii="Arial" w:eastAsia="宋体" w:hAnsi="Arial" w:cs="Arial"/>
          <w:color w:val="212121"/>
          <w:kern w:val="0"/>
          <w:szCs w:val="21"/>
        </w:rPr>
        <w:t>，为衡量旗下结算会员头寸的总风险从而确定应收取的保证金金额而推出的。</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经过十多年来的不断完善，已经逐渐成为一个全球计算投资组合保证金的</w:t>
      </w:r>
      <w:r w:rsidRPr="003D1687">
        <w:rPr>
          <w:rFonts w:ascii="Arial" w:eastAsia="宋体" w:hAnsi="Arial" w:cs="Arial"/>
          <w:color w:val="212121"/>
          <w:kern w:val="0"/>
          <w:szCs w:val="21"/>
          <w:highlight w:val="yellow"/>
        </w:rPr>
        <w:t>行业标准</w:t>
      </w:r>
      <w:r w:rsidRPr="0010574D">
        <w:rPr>
          <w:rFonts w:ascii="Arial" w:eastAsia="宋体" w:hAnsi="Arial" w:cs="Arial"/>
          <w:color w:val="212121"/>
          <w:kern w:val="0"/>
          <w:szCs w:val="21"/>
        </w:rPr>
        <w:t>。</w:t>
      </w:r>
    </w:p>
    <w:p w14:paraId="10466FE4"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上海期货交易所始终将风险管理放在首位，在去年以来期货价格的大幅波动情况下经受了严峻的考验。</w:t>
      </w:r>
      <w:r w:rsidRPr="003D1687">
        <w:rPr>
          <w:rFonts w:ascii="Arial" w:eastAsia="宋体" w:hAnsi="Arial" w:cs="Arial"/>
          <w:color w:val="212121"/>
          <w:kern w:val="0"/>
          <w:szCs w:val="21"/>
          <w:highlight w:val="yellow"/>
        </w:rPr>
        <w:t>为进一步提升风险管理水平，</w:t>
      </w:r>
      <w:commentRangeStart w:id="1"/>
      <w:r w:rsidRPr="003D1687">
        <w:rPr>
          <w:rFonts w:ascii="Arial" w:eastAsia="宋体" w:hAnsi="Arial" w:cs="Arial"/>
          <w:color w:val="212121"/>
          <w:kern w:val="0"/>
          <w:szCs w:val="21"/>
          <w:highlight w:val="yellow"/>
        </w:rPr>
        <w:t>上海期货交易所</w:t>
      </w:r>
      <w:commentRangeEnd w:id="1"/>
      <w:r w:rsidR="003D1687">
        <w:rPr>
          <w:rStyle w:val="aa"/>
        </w:rPr>
        <w:commentReference w:id="1"/>
      </w:r>
      <w:r w:rsidRPr="003D1687">
        <w:rPr>
          <w:rFonts w:ascii="Arial" w:eastAsia="宋体" w:hAnsi="Arial" w:cs="Arial"/>
          <w:color w:val="212121"/>
          <w:kern w:val="0"/>
          <w:szCs w:val="21"/>
          <w:highlight w:val="yellow"/>
        </w:rPr>
        <w:t>与芝加哥商品交易所（</w:t>
      </w:r>
      <w:r w:rsidRPr="003D1687">
        <w:rPr>
          <w:rFonts w:ascii="Arial" w:eastAsia="宋体" w:hAnsi="Arial" w:cs="Arial"/>
          <w:color w:val="212121"/>
          <w:kern w:val="0"/>
          <w:szCs w:val="21"/>
          <w:highlight w:val="yellow"/>
        </w:rPr>
        <w:t>CME</w:t>
      </w:r>
      <w:r w:rsidRPr="003D1687">
        <w:rPr>
          <w:rFonts w:ascii="Arial" w:eastAsia="宋体" w:hAnsi="Arial" w:cs="Arial"/>
          <w:color w:val="212121"/>
          <w:kern w:val="0"/>
          <w:szCs w:val="21"/>
          <w:highlight w:val="yellow"/>
        </w:rPr>
        <w:t>）于本月</w:t>
      </w:r>
      <w:r w:rsidRPr="003D1687">
        <w:rPr>
          <w:rFonts w:ascii="Arial" w:eastAsia="宋体" w:hAnsi="Arial" w:cs="Arial"/>
          <w:color w:val="212121"/>
          <w:kern w:val="0"/>
          <w:szCs w:val="21"/>
          <w:highlight w:val="yellow"/>
        </w:rPr>
        <w:t>17</w:t>
      </w:r>
      <w:r w:rsidRPr="003D1687">
        <w:rPr>
          <w:rFonts w:ascii="Arial" w:eastAsia="宋体" w:hAnsi="Arial" w:cs="Arial"/>
          <w:color w:val="212121"/>
          <w:kern w:val="0"/>
          <w:szCs w:val="21"/>
          <w:highlight w:val="yellow"/>
        </w:rPr>
        <w:t>日在美国博卡拉（</w:t>
      </w:r>
      <w:r w:rsidRPr="003D1687">
        <w:rPr>
          <w:rFonts w:ascii="Arial" w:eastAsia="宋体" w:hAnsi="Arial" w:cs="Arial"/>
          <w:color w:val="212121"/>
          <w:kern w:val="0"/>
          <w:szCs w:val="21"/>
          <w:highlight w:val="yellow"/>
        </w:rPr>
        <w:t>Boca Raton</w:t>
      </w:r>
      <w:r w:rsidRPr="003D1687">
        <w:rPr>
          <w:rFonts w:ascii="Arial" w:eastAsia="宋体" w:hAnsi="Arial" w:cs="Arial"/>
          <w:color w:val="212121"/>
          <w:kern w:val="0"/>
          <w:szCs w:val="21"/>
          <w:highlight w:val="yellow"/>
        </w:rPr>
        <w:t>）举行的期货业协会年会上正式签署协议引进</w:t>
      </w:r>
      <w:r w:rsidRPr="003D1687">
        <w:rPr>
          <w:rFonts w:ascii="Arial" w:eastAsia="宋体" w:hAnsi="Arial" w:cs="Arial"/>
          <w:color w:val="212121"/>
          <w:kern w:val="0"/>
          <w:szCs w:val="21"/>
          <w:highlight w:val="yellow"/>
        </w:rPr>
        <w:t>SPAN</w:t>
      </w:r>
      <w:r w:rsidRPr="003D1687">
        <w:rPr>
          <w:rFonts w:ascii="Arial" w:eastAsia="宋体" w:hAnsi="Arial" w:cs="Arial"/>
          <w:color w:val="212121"/>
          <w:kern w:val="0"/>
          <w:szCs w:val="21"/>
          <w:highlight w:val="yellow"/>
        </w:rPr>
        <w:t>。</w:t>
      </w:r>
    </w:p>
    <w:p w14:paraId="793F40A9"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（一）</w:t>
      </w:r>
      <w:r w:rsidRPr="003D1687">
        <w:rPr>
          <w:rFonts w:ascii="Arial" w:eastAsia="宋体" w:hAnsi="Arial" w:cs="Arial"/>
          <w:color w:val="212121"/>
          <w:kern w:val="0"/>
          <w:szCs w:val="21"/>
          <w:highlight w:val="yellow"/>
        </w:rPr>
        <w:t>SPAN</w:t>
      </w:r>
      <w:r w:rsidRPr="003D1687">
        <w:rPr>
          <w:rFonts w:ascii="Arial" w:eastAsia="宋体" w:hAnsi="Arial" w:cs="Arial"/>
          <w:color w:val="212121"/>
          <w:kern w:val="0"/>
          <w:szCs w:val="21"/>
          <w:highlight w:val="yellow"/>
        </w:rPr>
        <w:t>与保证金计算</w:t>
      </w:r>
    </w:p>
    <w:p w14:paraId="0AA09480"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SPAN</w:t>
      </w:r>
      <w:r w:rsidRPr="0010574D">
        <w:rPr>
          <w:rFonts w:ascii="Arial" w:eastAsia="宋体" w:hAnsi="Arial" w:cs="Arial"/>
          <w:color w:val="212121"/>
          <w:kern w:val="0"/>
          <w:szCs w:val="21"/>
        </w:rPr>
        <w:t>是一个</w:t>
      </w:r>
      <w:r w:rsidRPr="003D1687">
        <w:rPr>
          <w:rFonts w:ascii="Arial" w:eastAsia="宋体" w:hAnsi="Arial" w:cs="Arial"/>
          <w:color w:val="212121"/>
          <w:kern w:val="0"/>
          <w:szCs w:val="21"/>
          <w:highlight w:val="yellow"/>
        </w:rPr>
        <w:t>综合性的风险评估系统</w:t>
      </w:r>
      <w:r w:rsidRPr="0010574D">
        <w:rPr>
          <w:rFonts w:ascii="Arial" w:eastAsia="宋体" w:hAnsi="Arial" w:cs="Arial"/>
          <w:color w:val="212121"/>
          <w:kern w:val="0"/>
          <w:szCs w:val="21"/>
        </w:rPr>
        <w:t>，可以</w:t>
      </w:r>
      <w:r w:rsidRPr="003D1687">
        <w:rPr>
          <w:rFonts w:ascii="Arial" w:eastAsia="宋体" w:hAnsi="Arial" w:cs="Arial"/>
          <w:color w:val="212121"/>
          <w:kern w:val="0"/>
          <w:szCs w:val="21"/>
          <w:highlight w:val="yellow"/>
        </w:rPr>
        <w:t>精确</w:t>
      </w:r>
      <w:r w:rsidRPr="0010574D">
        <w:rPr>
          <w:rFonts w:ascii="Arial" w:eastAsia="宋体" w:hAnsi="Arial" w:cs="Arial"/>
          <w:color w:val="212121"/>
          <w:kern w:val="0"/>
          <w:szCs w:val="21"/>
        </w:rPr>
        <w:t>地计算</w:t>
      </w:r>
      <w:r w:rsidRPr="003D1687">
        <w:rPr>
          <w:rFonts w:ascii="Arial" w:eastAsia="宋体" w:hAnsi="Arial" w:cs="Arial"/>
          <w:color w:val="212121"/>
          <w:kern w:val="0"/>
          <w:szCs w:val="21"/>
          <w:highlight w:val="yellow"/>
        </w:rPr>
        <w:t>任意投资组合</w:t>
      </w:r>
      <w:r w:rsidRPr="0010574D">
        <w:rPr>
          <w:rFonts w:ascii="Arial" w:eastAsia="宋体" w:hAnsi="Arial" w:cs="Arial"/>
          <w:color w:val="212121"/>
          <w:kern w:val="0"/>
          <w:szCs w:val="21"/>
        </w:rPr>
        <w:t>的总体市场风险，并在此基础上结合</w:t>
      </w:r>
      <w:r w:rsidRPr="003D1687">
        <w:rPr>
          <w:rFonts w:ascii="Arial" w:eastAsia="宋体" w:hAnsi="Arial" w:cs="Arial"/>
          <w:color w:val="212121"/>
          <w:kern w:val="0"/>
          <w:szCs w:val="21"/>
          <w:highlight w:val="yellow"/>
        </w:rPr>
        <w:t>交易所的风险管理理念</w:t>
      </w:r>
      <w:r w:rsidRPr="0010574D">
        <w:rPr>
          <w:rFonts w:ascii="Arial" w:eastAsia="宋体" w:hAnsi="Arial" w:cs="Arial"/>
          <w:color w:val="212121"/>
          <w:kern w:val="0"/>
          <w:szCs w:val="21"/>
        </w:rPr>
        <w:t>，计算出应收取的</w:t>
      </w:r>
      <w:r w:rsidRPr="003D1687">
        <w:rPr>
          <w:rFonts w:ascii="Arial" w:eastAsia="宋体" w:hAnsi="Arial" w:cs="Arial"/>
          <w:color w:val="212121"/>
          <w:kern w:val="0"/>
          <w:szCs w:val="21"/>
          <w:highlight w:val="yellow"/>
        </w:rPr>
        <w:t>保证金</w:t>
      </w:r>
      <w:r w:rsidRPr="0010574D">
        <w:rPr>
          <w:rFonts w:ascii="Arial" w:eastAsia="宋体" w:hAnsi="Arial" w:cs="Arial"/>
          <w:color w:val="212121"/>
          <w:kern w:val="0"/>
          <w:szCs w:val="21"/>
        </w:rPr>
        <w:t>。</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的核心计算模块由</w:t>
      </w:r>
      <w:r w:rsidRPr="003D1687">
        <w:rPr>
          <w:rFonts w:ascii="Arial" w:eastAsia="宋体" w:hAnsi="Arial" w:cs="Arial"/>
          <w:color w:val="212121"/>
          <w:kern w:val="0"/>
          <w:szCs w:val="21"/>
          <w:highlight w:val="yellow"/>
        </w:rPr>
        <w:t>交易所计算</w:t>
      </w:r>
      <w:r w:rsidRPr="0010574D">
        <w:rPr>
          <w:rFonts w:ascii="Arial" w:eastAsia="宋体" w:hAnsi="Arial" w:cs="Arial"/>
          <w:color w:val="212121"/>
          <w:kern w:val="0"/>
          <w:szCs w:val="21"/>
        </w:rPr>
        <w:t>并以</w:t>
      </w:r>
      <w:r w:rsidRPr="003D1687">
        <w:rPr>
          <w:rFonts w:ascii="Arial" w:eastAsia="宋体" w:hAnsi="Arial" w:cs="Arial"/>
          <w:color w:val="212121"/>
          <w:kern w:val="0"/>
          <w:szCs w:val="21"/>
          <w:highlight w:val="yellow"/>
        </w:rPr>
        <w:t>参数文件</w:t>
      </w:r>
      <w:r w:rsidRPr="0010574D">
        <w:rPr>
          <w:rFonts w:ascii="Arial" w:eastAsia="宋体" w:hAnsi="Arial" w:cs="Arial"/>
          <w:color w:val="212121"/>
          <w:kern w:val="0"/>
          <w:szCs w:val="21"/>
        </w:rPr>
        <w:t>的形式每天免费提供给投资者，投资者只要在此基础上输入各自的头寸情况，就可以快捷地在个人电脑上对自己的投资组合进行风险分析，并计算出自己头寸所需要的保证金额度。这种简便的操作特性，使得它在推出之后即成为市场上</w:t>
      </w:r>
      <w:r w:rsidRPr="003D1687">
        <w:rPr>
          <w:rFonts w:ascii="Arial" w:eastAsia="宋体" w:hAnsi="Arial" w:cs="Arial"/>
          <w:color w:val="212121"/>
          <w:kern w:val="0"/>
          <w:szCs w:val="21"/>
          <w:highlight w:val="yellow"/>
        </w:rPr>
        <w:t>计算保证金的主流系统</w:t>
      </w:r>
      <w:r w:rsidRPr="0010574D">
        <w:rPr>
          <w:rFonts w:ascii="Arial" w:eastAsia="宋体" w:hAnsi="Arial" w:cs="Arial"/>
          <w:color w:val="212121"/>
          <w:kern w:val="0"/>
          <w:szCs w:val="21"/>
        </w:rPr>
        <w:t>，目前全球已经有接近</w:t>
      </w:r>
      <w:r w:rsidRPr="003D1687">
        <w:rPr>
          <w:rFonts w:ascii="Arial" w:eastAsia="宋体" w:hAnsi="Arial" w:cs="Arial"/>
          <w:color w:val="212121"/>
          <w:kern w:val="0"/>
          <w:szCs w:val="21"/>
          <w:highlight w:val="yellow"/>
        </w:rPr>
        <w:t>50</w:t>
      </w:r>
      <w:r w:rsidRPr="0010574D">
        <w:rPr>
          <w:rFonts w:ascii="Arial" w:eastAsia="宋体" w:hAnsi="Arial" w:cs="Arial"/>
          <w:color w:val="212121"/>
          <w:kern w:val="0"/>
          <w:szCs w:val="21"/>
        </w:rPr>
        <w:t>个交易所或结算组织使用该系统。</w:t>
      </w:r>
    </w:p>
    <w:p w14:paraId="4D6DA4C7"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为了让</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适用于市场的各种情况，并精确计算任意投资组合的保证金，该系统分别测量了下列可能影响保证金额度的因素：</w:t>
      </w:r>
    </w:p>
    <w:p w14:paraId="02573B91" w14:textId="77777777" w:rsidR="0010574D" w:rsidRPr="003D1687" w:rsidRDefault="0010574D" w:rsidP="0010574D">
      <w:pPr>
        <w:widowControl/>
        <w:shd w:val="clear" w:color="auto" w:fill="FFFFFF"/>
        <w:spacing w:after="240"/>
        <w:jc w:val="left"/>
        <w:rPr>
          <w:rFonts w:ascii="Arial" w:eastAsia="宋体" w:hAnsi="Arial" w:cs="Arial"/>
          <w:color w:val="212121"/>
          <w:kern w:val="0"/>
          <w:szCs w:val="21"/>
          <w:highlight w:val="yellow"/>
        </w:rPr>
      </w:pPr>
      <w:r w:rsidRPr="003D1687">
        <w:rPr>
          <w:rFonts w:ascii="Arial" w:eastAsia="宋体" w:hAnsi="Arial" w:cs="Arial"/>
          <w:color w:val="212121"/>
          <w:kern w:val="0"/>
          <w:szCs w:val="21"/>
          <w:highlight w:val="yellow"/>
        </w:rPr>
        <w:t>1</w:t>
      </w:r>
      <w:r w:rsidRPr="003D1687">
        <w:rPr>
          <w:rFonts w:ascii="Arial" w:eastAsia="宋体" w:hAnsi="Arial" w:cs="Arial"/>
          <w:color w:val="212121"/>
          <w:kern w:val="0"/>
          <w:szCs w:val="21"/>
          <w:highlight w:val="yellow"/>
        </w:rPr>
        <w:t>、标的资产价格的变动；</w:t>
      </w:r>
    </w:p>
    <w:p w14:paraId="6794D1E9" w14:textId="77777777" w:rsidR="0010574D" w:rsidRPr="003D1687" w:rsidRDefault="0010574D" w:rsidP="0010574D">
      <w:pPr>
        <w:widowControl/>
        <w:shd w:val="clear" w:color="auto" w:fill="FFFFFF"/>
        <w:spacing w:after="240"/>
        <w:jc w:val="left"/>
        <w:rPr>
          <w:rFonts w:ascii="Arial" w:eastAsia="宋体" w:hAnsi="Arial" w:cs="Arial"/>
          <w:color w:val="212121"/>
          <w:kern w:val="0"/>
          <w:szCs w:val="21"/>
          <w:highlight w:val="yellow"/>
        </w:rPr>
      </w:pPr>
      <w:r w:rsidRPr="003D1687">
        <w:rPr>
          <w:rFonts w:ascii="Arial" w:eastAsia="宋体" w:hAnsi="Arial" w:cs="Arial"/>
          <w:color w:val="212121"/>
          <w:kern w:val="0"/>
          <w:szCs w:val="21"/>
          <w:highlight w:val="yellow"/>
        </w:rPr>
        <w:t>2</w:t>
      </w:r>
      <w:r w:rsidRPr="003D1687">
        <w:rPr>
          <w:rFonts w:ascii="Arial" w:eastAsia="宋体" w:hAnsi="Arial" w:cs="Arial"/>
          <w:color w:val="212121"/>
          <w:kern w:val="0"/>
          <w:szCs w:val="21"/>
          <w:highlight w:val="yellow"/>
        </w:rPr>
        <w:t>、标的资产的价格波动性的变动；</w:t>
      </w:r>
    </w:p>
    <w:p w14:paraId="5345C63D" w14:textId="77777777" w:rsidR="0010574D" w:rsidRPr="003D1687" w:rsidRDefault="0010574D" w:rsidP="0010574D">
      <w:pPr>
        <w:widowControl/>
        <w:shd w:val="clear" w:color="auto" w:fill="FFFFFF"/>
        <w:spacing w:after="240"/>
        <w:jc w:val="left"/>
        <w:rPr>
          <w:rFonts w:ascii="Arial" w:eastAsia="宋体" w:hAnsi="Arial" w:cs="Arial"/>
          <w:color w:val="212121"/>
          <w:kern w:val="0"/>
          <w:szCs w:val="21"/>
          <w:highlight w:val="yellow"/>
        </w:rPr>
      </w:pPr>
      <w:r w:rsidRPr="003D1687">
        <w:rPr>
          <w:rFonts w:ascii="Arial" w:eastAsia="宋体" w:hAnsi="Arial" w:cs="Arial"/>
          <w:color w:val="212121"/>
          <w:kern w:val="0"/>
          <w:szCs w:val="21"/>
          <w:highlight w:val="yellow"/>
        </w:rPr>
        <w:t>3</w:t>
      </w:r>
      <w:r w:rsidRPr="003D1687">
        <w:rPr>
          <w:rFonts w:ascii="Arial" w:eastAsia="宋体" w:hAnsi="Arial" w:cs="Arial"/>
          <w:color w:val="212121"/>
          <w:kern w:val="0"/>
          <w:szCs w:val="21"/>
          <w:highlight w:val="yellow"/>
        </w:rPr>
        <w:t>、时间的流逝；</w:t>
      </w:r>
    </w:p>
    <w:p w14:paraId="36D306E6" w14:textId="77777777" w:rsidR="0010574D" w:rsidRPr="003D1687" w:rsidRDefault="0010574D" w:rsidP="0010574D">
      <w:pPr>
        <w:widowControl/>
        <w:shd w:val="clear" w:color="auto" w:fill="FFFFFF"/>
        <w:spacing w:after="240"/>
        <w:jc w:val="left"/>
        <w:rPr>
          <w:rFonts w:ascii="Arial" w:eastAsia="宋体" w:hAnsi="Arial" w:cs="Arial"/>
          <w:color w:val="212121"/>
          <w:kern w:val="0"/>
          <w:szCs w:val="21"/>
          <w:highlight w:val="yellow"/>
        </w:rPr>
      </w:pPr>
      <w:r w:rsidRPr="003D1687">
        <w:rPr>
          <w:rFonts w:ascii="Arial" w:eastAsia="宋体" w:hAnsi="Arial" w:cs="Arial"/>
          <w:color w:val="212121"/>
          <w:kern w:val="0"/>
          <w:szCs w:val="21"/>
          <w:highlight w:val="yellow"/>
        </w:rPr>
        <w:t>4</w:t>
      </w:r>
      <w:r w:rsidRPr="003D1687">
        <w:rPr>
          <w:rFonts w:ascii="Arial" w:eastAsia="宋体" w:hAnsi="Arial" w:cs="Arial"/>
          <w:color w:val="212121"/>
          <w:kern w:val="0"/>
          <w:szCs w:val="21"/>
          <w:highlight w:val="yellow"/>
        </w:rPr>
        <w:t>、</w:t>
      </w:r>
      <w:commentRangeStart w:id="2"/>
      <w:r w:rsidRPr="003D1687">
        <w:rPr>
          <w:rFonts w:ascii="Arial" w:eastAsia="宋体" w:hAnsi="Arial" w:cs="Arial"/>
          <w:color w:val="212121"/>
          <w:kern w:val="0"/>
          <w:szCs w:val="21"/>
          <w:highlight w:val="yellow"/>
        </w:rPr>
        <w:t>合约</w:t>
      </w:r>
      <w:commentRangeEnd w:id="2"/>
      <w:r w:rsidR="006F178F">
        <w:rPr>
          <w:rStyle w:val="aa"/>
        </w:rPr>
        <w:commentReference w:id="2"/>
      </w:r>
      <w:r w:rsidRPr="003D1687">
        <w:rPr>
          <w:rFonts w:ascii="Arial" w:eastAsia="宋体" w:hAnsi="Arial" w:cs="Arial"/>
          <w:color w:val="212121"/>
          <w:kern w:val="0"/>
          <w:szCs w:val="21"/>
          <w:highlight w:val="yellow"/>
        </w:rPr>
        <w:t>的交割风险；</w:t>
      </w:r>
    </w:p>
    <w:p w14:paraId="58BC7F3E" w14:textId="77777777" w:rsidR="0010574D" w:rsidRPr="003D1687" w:rsidRDefault="0010574D" w:rsidP="0010574D">
      <w:pPr>
        <w:widowControl/>
        <w:shd w:val="clear" w:color="auto" w:fill="FFFFFF"/>
        <w:spacing w:after="240"/>
        <w:jc w:val="left"/>
        <w:rPr>
          <w:rFonts w:ascii="Arial" w:eastAsia="宋体" w:hAnsi="Arial" w:cs="Arial"/>
          <w:color w:val="212121"/>
          <w:kern w:val="0"/>
          <w:szCs w:val="21"/>
          <w:highlight w:val="yellow"/>
        </w:rPr>
      </w:pPr>
      <w:r w:rsidRPr="003D1687">
        <w:rPr>
          <w:rFonts w:ascii="Arial" w:eastAsia="宋体" w:hAnsi="Arial" w:cs="Arial"/>
          <w:color w:val="212121"/>
          <w:kern w:val="0"/>
          <w:szCs w:val="21"/>
          <w:highlight w:val="yellow"/>
        </w:rPr>
        <w:t>5</w:t>
      </w:r>
      <w:r w:rsidRPr="003D1687">
        <w:rPr>
          <w:rFonts w:ascii="Arial" w:eastAsia="宋体" w:hAnsi="Arial" w:cs="Arial"/>
          <w:color w:val="212121"/>
          <w:kern w:val="0"/>
          <w:szCs w:val="21"/>
          <w:highlight w:val="yellow"/>
        </w:rPr>
        <w:t>、不同到期月份合约之间价差的变动；</w:t>
      </w:r>
    </w:p>
    <w:p w14:paraId="526A579F"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3D1687">
        <w:rPr>
          <w:rFonts w:ascii="Arial" w:eastAsia="宋体" w:hAnsi="Arial" w:cs="Arial"/>
          <w:color w:val="212121"/>
          <w:kern w:val="0"/>
          <w:szCs w:val="21"/>
          <w:highlight w:val="yellow"/>
        </w:rPr>
        <w:lastRenderedPageBreak/>
        <w:t>6</w:t>
      </w:r>
      <w:r w:rsidRPr="003D1687">
        <w:rPr>
          <w:rFonts w:ascii="Arial" w:eastAsia="宋体" w:hAnsi="Arial" w:cs="Arial"/>
          <w:color w:val="212121"/>
          <w:kern w:val="0"/>
          <w:szCs w:val="21"/>
          <w:highlight w:val="yellow"/>
        </w:rPr>
        <w:t>、各标的资产之间价格相关性的变动。</w:t>
      </w:r>
    </w:p>
    <w:p w14:paraId="54B05064"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在此基础之上，</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通过</w:t>
      </w:r>
      <w:r w:rsidRPr="002A7B7D">
        <w:rPr>
          <w:rFonts w:ascii="Arial" w:eastAsia="宋体" w:hAnsi="Arial" w:cs="Arial"/>
          <w:color w:val="212121"/>
          <w:kern w:val="0"/>
          <w:szCs w:val="21"/>
          <w:highlight w:val="yellow"/>
        </w:rPr>
        <w:t>标的资产的市场价格的变动</w:t>
      </w:r>
      <w:r w:rsidRPr="0010574D">
        <w:rPr>
          <w:rFonts w:ascii="Arial" w:eastAsia="宋体" w:hAnsi="Arial" w:cs="Arial"/>
          <w:color w:val="212121"/>
          <w:kern w:val="0"/>
          <w:szCs w:val="21"/>
        </w:rPr>
        <w:t>与其</w:t>
      </w:r>
      <w:r w:rsidRPr="002A7B7D">
        <w:rPr>
          <w:rFonts w:ascii="Arial" w:eastAsia="宋体" w:hAnsi="Arial" w:cs="Arial"/>
          <w:color w:val="212121"/>
          <w:kern w:val="0"/>
          <w:szCs w:val="21"/>
          <w:highlight w:val="yellow"/>
        </w:rPr>
        <w:t>波动性的变动</w:t>
      </w:r>
      <w:r w:rsidRPr="0010574D">
        <w:rPr>
          <w:rFonts w:ascii="Arial" w:eastAsia="宋体" w:hAnsi="Arial" w:cs="Arial"/>
          <w:color w:val="212121"/>
          <w:kern w:val="0"/>
          <w:szCs w:val="21"/>
        </w:rPr>
        <w:t>之间的</w:t>
      </w:r>
      <w:r w:rsidRPr="002A7B7D">
        <w:rPr>
          <w:rFonts w:ascii="Arial" w:eastAsia="宋体" w:hAnsi="Arial" w:cs="Arial"/>
          <w:color w:val="212121"/>
          <w:kern w:val="0"/>
          <w:szCs w:val="21"/>
          <w:highlight w:val="yellow"/>
        </w:rPr>
        <w:t>组合</w:t>
      </w:r>
      <w:r w:rsidRPr="0010574D">
        <w:rPr>
          <w:rFonts w:ascii="Arial" w:eastAsia="宋体" w:hAnsi="Arial" w:cs="Arial"/>
          <w:color w:val="212121"/>
          <w:kern w:val="0"/>
          <w:szCs w:val="21"/>
        </w:rPr>
        <w:t>来构建未来的市场情形，并求出某一具体投资组合在</w:t>
      </w:r>
      <w:r w:rsidRPr="002A7B7D">
        <w:rPr>
          <w:rFonts w:ascii="Arial" w:eastAsia="宋体" w:hAnsi="Arial" w:cs="Arial"/>
          <w:color w:val="212121"/>
          <w:kern w:val="0"/>
          <w:szCs w:val="21"/>
          <w:highlight w:val="yellow"/>
        </w:rPr>
        <w:t>一段时间</w:t>
      </w:r>
      <w:r w:rsidRPr="0010574D">
        <w:rPr>
          <w:rFonts w:ascii="Arial" w:eastAsia="宋体" w:hAnsi="Arial" w:cs="Arial"/>
          <w:color w:val="212121"/>
          <w:kern w:val="0"/>
          <w:szCs w:val="21"/>
        </w:rPr>
        <w:t>之内（一般是</w:t>
      </w:r>
      <w:r w:rsidRPr="002A7B7D">
        <w:rPr>
          <w:rFonts w:ascii="Arial" w:eastAsia="宋体" w:hAnsi="Arial" w:cs="Arial"/>
          <w:color w:val="212121"/>
          <w:kern w:val="0"/>
          <w:szCs w:val="21"/>
          <w:highlight w:val="yellow"/>
        </w:rPr>
        <w:t>一个交易日</w:t>
      </w:r>
      <w:r w:rsidRPr="0010574D">
        <w:rPr>
          <w:rFonts w:ascii="Arial" w:eastAsia="宋体" w:hAnsi="Arial" w:cs="Arial"/>
          <w:color w:val="212121"/>
          <w:kern w:val="0"/>
          <w:szCs w:val="21"/>
        </w:rPr>
        <w:t>）所可能的合理遭受的</w:t>
      </w:r>
      <w:r w:rsidRPr="002A7B7D">
        <w:rPr>
          <w:rFonts w:ascii="Arial" w:eastAsia="宋体" w:hAnsi="Arial" w:cs="Arial"/>
          <w:color w:val="212121"/>
          <w:kern w:val="0"/>
          <w:szCs w:val="21"/>
          <w:highlight w:val="yellow"/>
        </w:rPr>
        <w:t>最大损失的期望值</w:t>
      </w:r>
      <w:r w:rsidRPr="0010574D">
        <w:rPr>
          <w:rFonts w:ascii="Arial" w:eastAsia="宋体" w:hAnsi="Arial" w:cs="Arial"/>
          <w:color w:val="212121"/>
          <w:kern w:val="0"/>
          <w:szCs w:val="21"/>
        </w:rPr>
        <w:t>。交易所则在此期望值的基础上来确定应收取的</w:t>
      </w:r>
      <w:r w:rsidRPr="002A7B7D">
        <w:rPr>
          <w:rFonts w:ascii="Arial" w:eastAsia="宋体" w:hAnsi="Arial" w:cs="Arial"/>
          <w:color w:val="212121"/>
          <w:kern w:val="0"/>
          <w:szCs w:val="21"/>
          <w:highlight w:val="yellow"/>
        </w:rPr>
        <w:t>保证金额度</w:t>
      </w:r>
      <w:r w:rsidRPr="0010574D">
        <w:rPr>
          <w:rFonts w:ascii="Arial" w:eastAsia="宋体" w:hAnsi="Arial" w:cs="Arial"/>
          <w:color w:val="212121"/>
          <w:kern w:val="0"/>
          <w:szCs w:val="21"/>
        </w:rPr>
        <w:t>。</w:t>
      </w:r>
    </w:p>
    <w:p w14:paraId="0B09002C"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交易所为了计算保证金的需要，会先将</w:t>
      </w:r>
      <w:commentRangeStart w:id="3"/>
      <w:r w:rsidRPr="0010574D">
        <w:rPr>
          <w:rFonts w:ascii="Arial" w:eastAsia="宋体" w:hAnsi="Arial" w:cs="Arial"/>
          <w:color w:val="212121"/>
          <w:kern w:val="0"/>
          <w:szCs w:val="21"/>
        </w:rPr>
        <w:t>投资组合</w:t>
      </w:r>
      <w:commentRangeEnd w:id="3"/>
      <w:r w:rsidR="003E469B">
        <w:rPr>
          <w:rStyle w:val="aa"/>
        </w:rPr>
        <w:commentReference w:id="3"/>
      </w:r>
      <w:r w:rsidRPr="0010574D">
        <w:rPr>
          <w:rFonts w:ascii="Arial" w:eastAsia="宋体" w:hAnsi="Arial" w:cs="Arial"/>
          <w:color w:val="212121"/>
          <w:kern w:val="0"/>
          <w:szCs w:val="21"/>
        </w:rPr>
        <w:t>头寸进行</w:t>
      </w:r>
      <w:r w:rsidRPr="002A7B7D">
        <w:rPr>
          <w:rFonts w:ascii="Arial" w:eastAsia="宋体" w:hAnsi="Arial" w:cs="Arial"/>
          <w:color w:val="212121"/>
          <w:kern w:val="0"/>
          <w:szCs w:val="21"/>
          <w:highlight w:val="yellow"/>
        </w:rPr>
        <w:t>分类</w:t>
      </w:r>
      <w:r w:rsidRPr="0010574D">
        <w:rPr>
          <w:rFonts w:ascii="Arial" w:eastAsia="宋体" w:hAnsi="Arial" w:cs="Arial"/>
          <w:color w:val="212121"/>
          <w:kern w:val="0"/>
          <w:szCs w:val="21"/>
        </w:rPr>
        <w:t>，把具有</w:t>
      </w:r>
      <w:r w:rsidRPr="002A7B7D">
        <w:rPr>
          <w:rFonts w:ascii="Arial" w:eastAsia="宋体" w:hAnsi="Arial" w:cs="Arial"/>
          <w:color w:val="212121"/>
          <w:kern w:val="0"/>
          <w:szCs w:val="21"/>
          <w:highlight w:val="yellow"/>
        </w:rPr>
        <w:t>相同或者相似</w:t>
      </w:r>
      <w:r w:rsidRPr="0010574D">
        <w:rPr>
          <w:rFonts w:ascii="Arial" w:eastAsia="宋体" w:hAnsi="Arial" w:cs="Arial"/>
          <w:color w:val="212121"/>
          <w:kern w:val="0"/>
          <w:szCs w:val="21"/>
        </w:rPr>
        <w:t>标的</w:t>
      </w:r>
      <w:proofErr w:type="gramStart"/>
      <w:r w:rsidRPr="0010574D">
        <w:rPr>
          <w:rFonts w:ascii="Arial" w:eastAsia="宋体" w:hAnsi="Arial" w:cs="Arial"/>
          <w:color w:val="212121"/>
          <w:kern w:val="0"/>
          <w:szCs w:val="21"/>
        </w:rPr>
        <w:t>物商品</w:t>
      </w:r>
      <w:proofErr w:type="gramEnd"/>
      <w:r w:rsidRPr="0010574D">
        <w:rPr>
          <w:rFonts w:ascii="Arial" w:eastAsia="宋体" w:hAnsi="Arial" w:cs="Arial"/>
          <w:color w:val="212121"/>
          <w:kern w:val="0"/>
          <w:szCs w:val="21"/>
        </w:rPr>
        <w:t>视为一个</w:t>
      </w:r>
      <w:r w:rsidRPr="002A7B7D">
        <w:rPr>
          <w:rFonts w:ascii="Arial" w:eastAsia="宋体" w:hAnsi="Arial" w:cs="Arial"/>
          <w:color w:val="212121"/>
          <w:kern w:val="0"/>
          <w:szCs w:val="21"/>
          <w:highlight w:val="yellow"/>
        </w:rPr>
        <w:t>商品组合（</w:t>
      </w:r>
      <w:r w:rsidRPr="002A7B7D">
        <w:rPr>
          <w:rFonts w:ascii="Arial" w:eastAsia="宋体" w:hAnsi="Arial" w:cs="Arial"/>
          <w:color w:val="212121"/>
          <w:kern w:val="0"/>
          <w:szCs w:val="21"/>
          <w:highlight w:val="yellow"/>
        </w:rPr>
        <w:t>Combined Commodity</w:t>
      </w:r>
      <w:r w:rsidRPr="002A7B7D">
        <w:rPr>
          <w:rFonts w:ascii="Arial" w:eastAsia="宋体" w:hAnsi="Arial" w:cs="Arial"/>
          <w:color w:val="212121"/>
          <w:kern w:val="0"/>
          <w:szCs w:val="21"/>
          <w:highlight w:val="yellow"/>
        </w:rPr>
        <w:t>）</w:t>
      </w:r>
      <w:r w:rsidRPr="0010574D">
        <w:rPr>
          <w:rFonts w:ascii="Arial" w:eastAsia="宋体" w:hAnsi="Arial" w:cs="Arial"/>
          <w:color w:val="212121"/>
          <w:kern w:val="0"/>
          <w:szCs w:val="21"/>
        </w:rPr>
        <w:t>。此外，</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又为了计算上的方便，将商品组合进一步归类到各自不同的</w:t>
      </w:r>
      <w:r w:rsidRPr="002A7B7D">
        <w:rPr>
          <w:rFonts w:ascii="Arial" w:eastAsia="宋体" w:hAnsi="Arial" w:cs="Arial"/>
          <w:color w:val="212121"/>
          <w:kern w:val="0"/>
          <w:szCs w:val="21"/>
          <w:highlight w:val="yellow"/>
        </w:rPr>
        <w:t>商品群（</w:t>
      </w:r>
      <w:r w:rsidRPr="002A7B7D">
        <w:rPr>
          <w:rFonts w:ascii="Arial" w:eastAsia="宋体" w:hAnsi="Arial" w:cs="Arial"/>
          <w:color w:val="212121"/>
          <w:kern w:val="0"/>
          <w:szCs w:val="21"/>
          <w:highlight w:val="yellow"/>
        </w:rPr>
        <w:t>Combined Commodity Group</w:t>
      </w:r>
      <w:r w:rsidRPr="002A7B7D">
        <w:rPr>
          <w:rFonts w:ascii="Arial" w:eastAsia="宋体" w:hAnsi="Arial" w:cs="Arial"/>
          <w:color w:val="212121"/>
          <w:kern w:val="0"/>
          <w:szCs w:val="21"/>
          <w:highlight w:val="yellow"/>
        </w:rPr>
        <w:t>）</w:t>
      </w:r>
      <w:r w:rsidRPr="0010574D">
        <w:rPr>
          <w:rFonts w:ascii="Arial" w:eastAsia="宋体" w:hAnsi="Arial" w:cs="Arial"/>
          <w:color w:val="212121"/>
          <w:kern w:val="0"/>
          <w:szCs w:val="21"/>
        </w:rPr>
        <w:t>。</w:t>
      </w:r>
    </w:p>
    <w:p w14:paraId="7358446A"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SPAN</w:t>
      </w:r>
      <w:r w:rsidRPr="003E469B">
        <w:rPr>
          <w:rFonts w:ascii="Arial" w:eastAsia="宋体" w:hAnsi="Arial" w:cs="Arial"/>
          <w:color w:val="212121"/>
          <w:kern w:val="0"/>
          <w:szCs w:val="21"/>
          <w:highlight w:val="yellow"/>
        </w:rPr>
        <w:t>以商品组合为基础</w:t>
      </w:r>
      <w:r w:rsidRPr="0010574D">
        <w:rPr>
          <w:rFonts w:ascii="Arial" w:eastAsia="宋体" w:hAnsi="Arial" w:cs="Arial"/>
          <w:color w:val="212121"/>
          <w:kern w:val="0"/>
          <w:szCs w:val="21"/>
        </w:rPr>
        <w:t>计算保证金，因此</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先将投资组合的头寸分拆为各自不同的商品组合，并</w:t>
      </w:r>
      <w:r w:rsidRPr="00541B4D">
        <w:rPr>
          <w:rFonts w:ascii="Arial" w:eastAsia="宋体" w:hAnsi="Arial" w:cs="Arial"/>
          <w:color w:val="212121"/>
          <w:kern w:val="0"/>
          <w:szCs w:val="21"/>
          <w:highlight w:val="yellow"/>
        </w:rPr>
        <w:t>对每个商品组合计算风险值</w:t>
      </w:r>
      <w:r w:rsidRPr="0010574D">
        <w:rPr>
          <w:rFonts w:ascii="Arial" w:eastAsia="宋体" w:hAnsi="Arial" w:cs="Arial"/>
          <w:color w:val="212121"/>
          <w:kern w:val="0"/>
          <w:szCs w:val="21"/>
        </w:rPr>
        <w:t>。待求出各商品组合的风险值之后，再求出</w:t>
      </w:r>
      <w:r w:rsidRPr="00541B4D">
        <w:rPr>
          <w:rFonts w:ascii="Arial" w:eastAsia="宋体" w:hAnsi="Arial" w:cs="Arial"/>
          <w:color w:val="212121"/>
          <w:kern w:val="0"/>
          <w:szCs w:val="21"/>
          <w:highlight w:val="yellow"/>
        </w:rPr>
        <w:t>每个商品群的风险值</w:t>
      </w:r>
      <w:r w:rsidRPr="0010574D">
        <w:rPr>
          <w:rFonts w:ascii="Arial" w:eastAsia="宋体" w:hAnsi="Arial" w:cs="Arial"/>
          <w:color w:val="212121"/>
          <w:kern w:val="0"/>
          <w:szCs w:val="21"/>
        </w:rPr>
        <w:t>，最后</w:t>
      </w:r>
      <w:r w:rsidRPr="00541B4D">
        <w:rPr>
          <w:rFonts w:ascii="Arial" w:eastAsia="宋体" w:hAnsi="Arial" w:cs="Arial"/>
          <w:color w:val="212121"/>
          <w:kern w:val="0"/>
          <w:szCs w:val="21"/>
          <w:highlight w:val="yellow"/>
        </w:rPr>
        <w:t>加总各商品群的风险值</w:t>
      </w:r>
      <w:r w:rsidRPr="0010574D">
        <w:rPr>
          <w:rFonts w:ascii="Arial" w:eastAsia="宋体" w:hAnsi="Arial" w:cs="Arial"/>
          <w:color w:val="212121"/>
          <w:kern w:val="0"/>
          <w:szCs w:val="21"/>
        </w:rPr>
        <w:t>，即得到由</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所确定的</w:t>
      </w:r>
      <w:r w:rsidRPr="00541B4D">
        <w:rPr>
          <w:rFonts w:ascii="Arial" w:eastAsia="宋体" w:hAnsi="Arial" w:cs="Arial"/>
          <w:color w:val="212121"/>
          <w:kern w:val="0"/>
          <w:szCs w:val="21"/>
          <w:highlight w:val="yellow"/>
        </w:rPr>
        <w:t>整个投资组合的风险值（</w:t>
      </w:r>
      <w:r w:rsidRPr="00541B4D">
        <w:rPr>
          <w:rFonts w:ascii="Arial" w:eastAsia="宋体" w:hAnsi="Arial" w:cs="Arial"/>
          <w:color w:val="212121"/>
          <w:kern w:val="0"/>
          <w:szCs w:val="21"/>
          <w:highlight w:val="yellow"/>
        </w:rPr>
        <w:t>SPAN Risk</w:t>
      </w:r>
      <w:r w:rsidRPr="00541B4D">
        <w:rPr>
          <w:rFonts w:ascii="Arial" w:eastAsia="宋体" w:hAnsi="Arial" w:cs="Arial"/>
          <w:color w:val="212121"/>
          <w:kern w:val="0"/>
          <w:szCs w:val="21"/>
          <w:highlight w:val="yellow"/>
        </w:rPr>
        <w:t>）</w:t>
      </w:r>
      <w:r w:rsidRPr="0010574D">
        <w:rPr>
          <w:rFonts w:ascii="Arial" w:eastAsia="宋体" w:hAnsi="Arial" w:cs="Arial"/>
          <w:color w:val="212121"/>
          <w:kern w:val="0"/>
          <w:szCs w:val="21"/>
        </w:rPr>
        <w:t>。</w:t>
      </w:r>
    </w:p>
    <w:p w14:paraId="1C458BB3"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SPAN</w:t>
      </w:r>
      <w:r w:rsidRPr="0010574D">
        <w:rPr>
          <w:rFonts w:ascii="Arial" w:eastAsia="宋体" w:hAnsi="Arial" w:cs="Arial"/>
          <w:color w:val="212121"/>
          <w:kern w:val="0"/>
          <w:szCs w:val="21"/>
        </w:rPr>
        <w:t>计算出投资组合的总风险之后，会进一步计算投资组合中的</w:t>
      </w:r>
      <w:r w:rsidRPr="00626593">
        <w:rPr>
          <w:rFonts w:ascii="Arial" w:eastAsia="宋体" w:hAnsi="Arial" w:cs="Arial"/>
          <w:color w:val="212121"/>
          <w:kern w:val="0"/>
          <w:szCs w:val="21"/>
          <w:highlight w:val="yellow"/>
        </w:rPr>
        <w:t>期权净值（</w:t>
      </w:r>
      <w:r w:rsidRPr="00626593">
        <w:rPr>
          <w:rFonts w:ascii="Arial" w:eastAsia="宋体" w:hAnsi="Arial" w:cs="Arial"/>
          <w:color w:val="212121"/>
          <w:kern w:val="0"/>
          <w:szCs w:val="21"/>
          <w:highlight w:val="yellow"/>
        </w:rPr>
        <w:t>Net Option Value</w:t>
      </w:r>
      <w:r w:rsidRPr="00626593">
        <w:rPr>
          <w:rFonts w:ascii="Arial" w:eastAsia="宋体" w:hAnsi="Arial" w:cs="Arial"/>
          <w:color w:val="212121"/>
          <w:kern w:val="0"/>
          <w:szCs w:val="21"/>
          <w:highlight w:val="yellow"/>
        </w:rPr>
        <w:t>）</w:t>
      </w:r>
      <w:r w:rsidRPr="0010574D">
        <w:rPr>
          <w:rFonts w:ascii="Arial" w:eastAsia="宋体" w:hAnsi="Arial" w:cs="Arial"/>
          <w:color w:val="212121"/>
          <w:kern w:val="0"/>
          <w:szCs w:val="21"/>
        </w:rPr>
        <w:t>。该值是投资组合中所有期权头寸依据市场价格立即平仓后的</w:t>
      </w:r>
      <w:commentRangeStart w:id="4"/>
      <w:r w:rsidRPr="0010574D">
        <w:rPr>
          <w:rFonts w:ascii="Arial" w:eastAsia="宋体" w:hAnsi="Arial" w:cs="Arial"/>
          <w:color w:val="212121"/>
          <w:kern w:val="0"/>
          <w:szCs w:val="21"/>
        </w:rPr>
        <w:t>现金流量</w:t>
      </w:r>
      <w:commentRangeEnd w:id="4"/>
      <w:r w:rsidR="00027703">
        <w:rPr>
          <w:rStyle w:val="aa"/>
        </w:rPr>
        <w:commentReference w:id="4"/>
      </w:r>
      <w:r w:rsidRPr="0010574D">
        <w:rPr>
          <w:rFonts w:ascii="Arial" w:eastAsia="宋体" w:hAnsi="Arial" w:cs="Arial"/>
          <w:color w:val="212121"/>
          <w:kern w:val="0"/>
          <w:szCs w:val="21"/>
        </w:rPr>
        <w:t>。</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将</w:t>
      </w:r>
      <w:r w:rsidRPr="00BA5959">
        <w:rPr>
          <w:rFonts w:ascii="Arial" w:eastAsia="宋体" w:hAnsi="Arial" w:cs="Arial"/>
          <w:color w:val="212121"/>
          <w:kern w:val="0"/>
          <w:szCs w:val="21"/>
          <w:highlight w:val="yellow"/>
        </w:rPr>
        <w:t>整个投资组合的风险值减去期权净值的金额</w:t>
      </w:r>
      <w:r w:rsidRPr="0010574D">
        <w:rPr>
          <w:rFonts w:ascii="Arial" w:eastAsia="宋体" w:hAnsi="Arial" w:cs="Arial"/>
          <w:color w:val="212121"/>
          <w:kern w:val="0"/>
          <w:szCs w:val="21"/>
        </w:rPr>
        <w:t>，作为对客户收取的</w:t>
      </w:r>
      <w:commentRangeStart w:id="5"/>
      <w:r w:rsidRPr="00BA5959">
        <w:rPr>
          <w:rFonts w:ascii="Arial" w:eastAsia="宋体" w:hAnsi="Arial" w:cs="Arial"/>
          <w:color w:val="212121"/>
          <w:kern w:val="0"/>
          <w:szCs w:val="21"/>
          <w:highlight w:val="yellow"/>
        </w:rPr>
        <w:t>保证金</w:t>
      </w:r>
      <w:commentRangeEnd w:id="5"/>
      <w:r w:rsidR="008C5047">
        <w:rPr>
          <w:rStyle w:val="aa"/>
        </w:rPr>
        <w:commentReference w:id="5"/>
      </w:r>
      <w:r w:rsidRPr="00BA5959">
        <w:rPr>
          <w:rFonts w:ascii="Arial" w:eastAsia="宋体" w:hAnsi="Arial" w:cs="Arial"/>
          <w:color w:val="212121"/>
          <w:kern w:val="0"/>
          <w:szCs w:val="21"/>
          <w:highlight w:val="yellow"/>
        </w:rPr>
        <w:t>额度（</w:t>
      </w:r>
      <w:r w:rsidRPr="00BA5959">
        <w:rPr>
          <w:rFonts w:ascii="Arial" w:eastAsia="宋体" w:hAnsi="Arial" w:cs="Arial"/>
          <w:color w:val="212121"/>
          <w:kern w:val="0"/>
          <w:szCs w:val="21"/>
          <w:highlight w:val="yellow"/>
        </w:rPr>
        <w:t>SPAN Total Requirement</w:t>
      </w:r>
      <w:r w:rsidRPr="00BA5959">
        <w:rPr>
          <w:rFonts w:ascii="Arial" w:eastAsia="宋体" w:hAnsi="Arial" w:cs="Arial"/>
          <w:color w:val="212121"/>
          <w:kern w:val="0"/>
          <w:szCs w:val="21"/>
          <w:highlight w:val="yellow"/>
        </w:rPr>
        <w:t>）</w:t>
      </w:r>
      <w:r w:rsidRPr="0010574D">
        <w:rPr>
          <w:rFonts w:ascii="Arial" w:eastAsia="宋体" w:hAnsi="Arial" w:cs="Arial"/>
          <w:color w:val="212121"/>
          <w:kern w:val="0"/>
          <w:szCs w:val="21"/>
        </w:rPr>
        <w:t>。</w:t>
      </w:r>
    </w:p>
    <w:p w14:paraId="330D08CD"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而各商品群的风险值，是由</w:t>
      </w:r>
      <w:r w:rsidRPr="00F81230">
        <w:rPr>
          <w:rFonts w:ascii="Arial" w:eastAsia="宋体" w:hAnsi="Arial" w:cs="Arial"/>
          <w:color w:val="212121"/>
          <w:kern w:val="0"/>
          <w:szCs w:val="21"/>
          <w:highlight w:val="yellow"/>
        </w:rPr>
        <w:t>价格扫描风险（</w:t>
      </w:r>
      <w:r w:rsidRPr="00F81230">
        <w:rPr>
          <w:rFonts w:ascii="Arial" w:eastAsia="宋体" w:hAnsi="Arial" w:cs="Arial"/>
          <w:color w:val="212121"/>
          <w:kern w:val="0"/>
          <w:szCs w:val="21"/>
          <w:highlight w:val="yellow"/>
        </w:rPr>
        <w:t>Scan Risk</w:t>
      </w:r>
      <w:r w:rsidRPr="00F81230">
        <w:rPr>
          <w:rFonts w:ascii="Arial" w:eastAsia="宋体" w:hAnsi="Arial" w:cs="Arial"/>
          <w:color w:val="212121"/>
          <w:kern w:val="0"/>
          <w:szCs w:val="21"/>
          <w:highlight w:val="yellow"/>
        </w:rPr>
        <w:t>）</w:t>
      </w:r>
      <w:r w:rsidRPr="0010574D">
        <w:rPr>
          <w:rFonts w:ascii="Arial" w:eastAsia="宋体" w:hAnsi="Arial" w:cs="Arial"/>
          <w:color w:val="212121"/>
          <w:kern w:val="0"/>
          <w:szCs w:val="21"/>
        </w:rPr>
        <w:t>、</w:t>
      </w:r>
      <w:r w:rsidRPr="00F81230">
        <w:rPr>
          <w:rFonts w:ascii="Arial" w:eastAsia="宋体" w:hAnsi="Arial" w:cs="Arial"/>
          <w:color w:val="212121"/>
          <w:kern w:val="0"/>
          <w:szCs w:val="21"/>
          <w:highlight w:val="yellow"/>
        </w:rPr>
        <w:t>商品组合内的跨月价差风险（</w:t>
      </w:r>
      <w:r w:rsidRPr="00F81230">
        <w:rPr>
          <w:rFonts w:ascii="Arial" w:eastAsia="宋体" w:hAnsi="Arial" w:cs="Arial"/>
          <w:color w:val="212121"/>
          <w:kern w:val="0"/>
          <w:szCs w:val="21"/>
          <w:highlight w:val="yellow"/>
        </w:rPr>
        <w:t>Intra-Commodity Spread Risk</w:t>
      </w:r>
      <w:r w:rsidRPr="00F81230">
        <w:rPr>
          <w:rFonts w:ascii="Arial" w:eastAsia="宋体" w:hAnsi="Arial" w:cs="Arial"/>
          <w:color w:val="212121"/>
          <w:kern w:val="0"/>
          <w:szCs w:val="21"/>
          <w:highlight w:val="yellow"/>
        </w:rPr>
        <w:t>）</w:t>
      </w:r>
      <w:r w:rsidRPr="0010574D">
        <w:rPr>
          <w:rFonts w:ascii="Arial" w:eastAsia="宋体" w:hAnsi="Arial" w:cs="Arial"/>
          <w:color w:val="212121"/>
          <w:kern w:val="0"/>
          <w:szCs w:val="21"/>
        </w:rPr>
        <w:t>以及</w:t>
      </w:r>
      <w:r w:rsidRPr="00F81230">
        <w:rPr>
          <w:rFonts w:ascii="Arial" w:eastAsia="宋体" w:hAnsi="Arial" w:cs="Arial"/>
          <w:color w:val="212121"/>
          <w:kern w:val="0"/>
          <w:szCs w:val="21"/>
          <w:highlight w:val="yellow"/>
        </w:rPr>
        <w:t>交割风险（</w:t>
      </w:r>
      <w:r w:rsidRPr="00F81230">
        <w:rPr>
          <w:rFonts w:ascii="Arial" w:eastAsia="宋体" w:hAnsi="Arial" w:cs="Arial"/>
          <w:color w:val="212121"/>
          <w:kern w:val="0"/>
          <w:szCs w:val="21"/>
          <w:highlight w:val="yellow"/>
        </w:rPr>
        <w:t>Delivery Risk</w:t>
      </w:r>
      <w:r w:rsidRPr="00F81230">
        <w:rPr>
          <w:rFonts w:ascii="Arial" w:eastAsia="宋体" w:hAnsi="Arial" w:cs="Arial"/>
          <w:color w:val="212121"/>
          <w:kern w:val="0"/>
          <w:szCs w:val="21"/>
          <w:highlight w:val="yellow"/>
        </w:rPr>
        <w:t>）</w:t>
      </w:r>
      <w:commentRangeStart w:id="6"/>
      <w:r w:rsidRPr="00F81230">
        <w:rPr>
          <w:rFonts w:ascii="Arial" w:eastAsia="宋体" w:hAnsi="Arial" w:cs="Arial"/>
          <w:color w:val="212121"/>
          <w:kern w:val="0"/>
          <w:szCs w:val="21"/>
          <w:highlight w:val="yellow"/>
        </w:rPr>
        <w:t>加总</w:t>
      </w:r>
      <w:commentRangeEnd w:id="6"/>
      <w:r w:rsidR="00F81230">
        <w:rPr>
          <w:rStyle w:val="aa"/>
        </w:rPr>
        <w:commentReference w:id="6"/>
      </w:r>
      <w:r w:rsidRPr="0010574D">
        <w:rPr>
          <w:rFonts w:ascii="Arial" w:eastAsia="宋体" w:hAnsi="Arial" w:cs="Arial"/>
          <w:color w:val="212121"/>
          <w:kern w:val="0"/>
          <w:szCs w:val="21"/>
        </w:rPr>
        <w:t>之后，</w:t>
      </w:r>
      <w:r w:rsidRPr="00F81230">
        <w:rPr>
          <w:rFonts w:ascii="Arial" w:eastAsia="宋体" w:hAnsi="Arial" w:cs="Arial"/>
          <w:color w:val="212121"/>
          <w:kern w:val="0"/>
          <w:szCs w:val="21"/>
          <w:highlight w:val="yellow"/>
        </w:rPr>
        <w:t>扣除商品组合间的价差抵扣（</w:t>
      </w:r>
      <w:r w:rsidRPr="00F81230">
        <w:rPr>
          <w:rFonts w:ascii="Arial" w:eastAsia="宋体" w:hAnsi="Arial" w:cs="Arial"/>
          <w:color w:val="212121"/>
          <w:kern w:val="0"/>
          <w:szCs w:val="21"/>
          <w:highlight w:val="yellow"/>
        </w:rPr>
        <w:t>Inter-Commodity Spread Risk</w:t>
      </w:r>
      <w:r w:rsidRPr="00F81230">
        <w:rPr>
          <w:rFonts w:ascii="Arial" w:eastAsia="宋体" w:hAnsi="Arial" w:cs="Arial"/>
          <w:color w:val="212121"/>
          <w:kern w:val="0"/>
          <w:szCs w:val="21"/>
          <w:highlight w:val="yellow"/>
        </w:rPr>
        <w:t>）</w:t>
      </w:r>
      <w:r w:rsidRPr="0010574D">
        <w:rPr>
          <w:rFonts w:ascii="Arial" w:eastAsia="宋体" w:hAnsi="Arial" w:cs="Arial"/>
          <w:color w:val="212121"/>
          <w:kern w:val="0"/>
          <w:szCs w:val="21"/>
        </w:rPr>
        <w:t>，最后与</w:t>
      </w:r>
      <w:r w:rsidRPr="00F81230">
        <w:rPr>
          <w:rFonts w:ascii="Arial" w:eastAsia="宋体" w:hAnsi="Arial" w:cs="Arial"/>
          <w:color w:val="212121"/>
          <w:kern w:val="0"/>
          <w:szCs w:val="21"/>
          <w:highlight w:val="yellow"/>
        </w:rPr>
        <w:t>期权空头的最低风险（</w:t>
      </w:r>
      <w:r w:rsidRPr="00F81230">
        <w:rPr>
          <w:rFonts w:ascii="Arial" w:eastAsia="宋体" w:hAnsi="Arial" w:cs="Arial"/>
          <w:color w:val="212121"/>
          <w:kern w:val="0"/>
          <w:szCs w:val="21"/>
          <w:highlight w:val="yellow"/>
        </w:rPr>
        <w:t>Short Option Minimum</w:t>
      </w:r>
      <w:r w:rsidRPr="00F81230">
        <w:rPr>
          <w:rFonts w:ascii="Arial" w:eastAsia="宋体" w:hAnsi="Arial" w:cs="Arial"/>
          <w:color w:val="212121"/>
          <w:kern w:val="0"/>
          <w:szCs w:val="21"/>
          <w:highlight w:val="yellow"/>
        </w:rPr>
        <w:t>）</w:t>
      </w:r>
      <w:r w:rsidRPr="0010574D">
        <w:rPr>
          <w:rFonts w:ascii="Arial" w:eastAsia="宋体" w:hAnsi="Arial" w:cs="Arial"/>
          <w:color w:val="212121"/>
          <w:kern w:val="0"/>
          <w:szCs w:val="21"/>
        </w:rPr>
        <w:t>比较所得到的</w:t>
      </w:r>
      <w:r w:rsidRPr="00F81230">
        <w:rPr>
          <w:rFonts w:ascii="Arial" w:eastAsia="宋体" w:hAnsi="Arial" w:cs="Arial"/>
          <w:color w:val="212121"/>
          <w:kern w:val="0"/>
          <w:szCs w:val="21"/>
          <w:highlight w:val="yellow"/>
        </w:rPr>
        <w:t>较大值</w:t>
      </w:r>
      <w:r w:rsidRPr="0010574D">
        <w:rPr>
          <w:rFonts w:ascii="Arial" w:eastAsia="宋体" w:hAnsi="Arial" w:cs="Arial"/>
          <w:color w:val="212121"/>
          <w:kern w:val="0"/>
          <w:szCs w:val="21"/>
        </w:rPr>
        <w:t>。</w:t>
      </w:r>
    </w:p>
    <w:p w14:paraId="161771D9"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其中，价格扫描风险是指头寸在多种（一般设置为</w:t>
      </w:r>
      <w:r w:rsidRPr="00863081">
        <w:rPr>
          <w:rFonts w:ascii="Arial" w:eastAsia="宋体" w:hAnsi="Arial" w:cs="Arial"/>
          <w:color w:val="212121"/>
          <w:kern w:val="0"/>
          <w:szCs w:val="21"/>
          <w:highlight w:val="yellow"/>
        </w:rPr>
        <w:t>16</w:t>
      </w:r>
      <w:r w:rsidRPr="00863081">
        <w:rPr>
          <w:rFonts w:ascii="Arial" w:eastAsia="宋体" w:hAnsi="Arial" w:cs="Arial"/>
          <w:color w:val="212121"/>
          <w:kern w:val="0"/>
          <w:szCs w:val="21"/>
          <w:highlight w:val="yellow"/>
        </w:rPr>
        <w:t>种</w:t>
      </w:r>
      <w:r w:rsidRPr="0010574D">
        <w:rPr>
          <w:rFonts w:ascii="Arial" w:eastAsia="宋体" w:hAnsi="Arial" w:cs="Arial"/>
          <w:color w:val="212121"/>
          <w:kern w:val="0"/>
          <w:szCs w:val="21"/>
        </w:rPr>
        <w:t>）可能的</w:t>
      </w:r>
      <w:r w:rsidRPr="00863081">
        <w:rPr>
          <w:rFonts w:ascii="Arial" w:eastAsia="宋体" w:hAnsi="Arial" w:cs="Arial"/>
          <w:color w:val="212121"/>
          <w:kern w:val="0"/>
          <w:szCs w:val="21"/>
          <w:highlight w:val="yellow"/>
        </w:rPr>
        <w:t>市场情形</w:t>
      </w:r>
      <w:r w:rsidRPr="0010574D">
        <w:rPr>
          <w:rFonts w:ascii="Arial" w:eastAsia="宋体" w:hAnsi="Arial" w:cs="Arial"/>
          <w:color w:val="212121"/>
          <w:kern w:val="0"/>
          <w:szCs w:val="21"/>
        </w:rPr>
        <w:t>下，可能遭受的</w:t>
      </w:r>
      <w:r w:rsidRPr="00863081">
        <w:rPr>
          <w:rFonts w:ascii="Arial" w:eastAsia="宋体" w:hAnsi="Arial" w:cs="Arial"/>
          <w:color w:val="212121"/>
          <w:kern w:val="0"/>
          <w:szCs w:val="21"/>
          <w:highlight w:val="yellow"/>
        </w:rPr>
        <w:t>最大损失</w:t>
      </w:r>
      <w:r w:rsidRPr="0010574D">
        <w:rPr>
          <w:rFonts w:ascii="Arial" w:eastAsia="宋体" w:hAnsi="Arial" w:cs="Arial"/>
          <w:color w:val="212121"/>
          <w:kern w:val="0"/>
          <w:szCs w:val="21"/>
        </w:rPr>
        <w:t>；跨月价差风险是指在交易所允许商品组合内的头寸可以</w:t>
      </w:r>
      <w:commentRangeStart w:id="7"/>
      <w:r w:rsidRPr="0010574D">
        <w:rPr>
          <w:rFonts w:ascii="Arial" w:eastAsia="宋体" w:hAnsi="Arial" w:cs="Arial"/>
          <w:color w:val="212121"/>
          <w:kern w:val="0"/>
          <w:szCs w:val="21"/>
        </w:rPr>
        <w:t>抵扣</w:t>
      </w:r>
      <w:commentRangeEnd w:id="7"/>
      <w:r w:rsidR="00863081">
        <w:rPr>
          <w:rStyle w:val="aa"/>
        </w:rPr>
        <w:commentReference w:id="7"/>
      </w:r>
      <w:r w:rsidRPr="0010574D">
        <w:rPr>
          <w:rFonts w:ascii="Arial" w:eastAsia="宋体" w:hAnsi="Arial" w:cs="Arial"/>
          <w:color w:val="212121"/>
          <w:kern w:val="0"/>
          <w:szCs w:val="21"/>
        </w:rPr>
        <w:t>的前提下，不同到期合约的价格行为之间的差异所导致的风险；交割风险是指实物交割中可能产生的风险，在衍生品市场交易中往往体现为</w:t>
      </w:r>
      <w:r w:rsidRPr="00863081">
        <w:rPr>
          <w:rFonts w:ascii="Arial" w:eastAsia="宋体" w:hAnsi="Arial" w:cs="Arial"/>
          <w:color w:val="212121"/>
          <w:kern w:val="0"/>
          <w:szCs w:val="21"/>
          <w:highlight w:val="yellow"/>
        </w:rPr>
        <w:t>商品合约在临近交割期的价格波动性增大</w:t>
      </w:r>
      <w:r w:rsidRPr="0010574D">
        <w:rPr>
          <w:rFonts w:ascii="Arial" w:eastAsia="宋体" w:hAnsi="Arial" w:cs="Arial"/>
          <w:color w:val="212121"/>
          <w:kern w:val="0"/>
          <w:szCs w:val="21"/>
        </w:rPr>
        <w:t>；价差抵扣是指同一商品群下不同商品组合</w:t>
      </w:r>
      <w:proofErr w:type="gramStart"/>
      <w:r w:rsidRPr="0010574D">
        <w:rPr>
          <w:rFonts w:ascii="Arial" w:eastAsia="宋体" w:hAnsi="Arial" w:cs="Arial"/>
          <w:color w:val="212121"/>
          <w:kern w:val="0"/>
          <w:szCs w:val="21"/>
        </w:rPr>
        <w:t>间因为</w:t>
      </w:r>
      <w:proofErr w:type="gramEnd"/>
      <w:r w:rsidRPr="00863081">
        <w:rPr>
          <w:rFonts w:ascii="Arial" w:eastAsia="宋体" w:hAnsi="Arial" w:cs="Arial"/>
          <w:color w:val="212121"/>
          <w:kern w:val="0"/>
          <w:szCs w:val="21"/>
          <w:highlight w:val="yellow"/>
        </w:rPr>
        <w:t>价格波动的相关性</w:t>
      </w:r>
      <w:r w:rsidRPr="0010574D">
        <w:rPr>
          <w:rFonts w:ascii="Arial" w:eastAsia="宋体" w:hAnsi="Arial" w:cs="Arial"/>
          <w:color w:val="212121"/>
          <w:kern w:val="0"/>
          <w:szCs w:val="21"/>
        </w:rPr>
        <w:t>而产生的某种程度的</w:t>
      </w:r>
      <w:r w:rsidRPr="00863081">
        <w:rPr>
          <w:rFonts w:ascii="Arial" w:eastAsia="宋体" w:hAnsi="Arial" w:cs="Arial"/>
          <w:color w:val="212121"/>
          <w:kern w:val="0"/>
          <w:szCs w:val="21"/>
          <w:highlight w:val="yellow"/>
        </w:rPr>
        <w:t>抵消效果</w:t>
      </w:r>
      <w:r w:rsidRPr="0010574D">
        <w:rPr>
          <w:rFonts w:ascii="Arial" w:eastAsia="宋体" w:hAnsi="Arial" w:cs="Arial"/>
          <w:color w:val="212121"/>
          <w:kern w:val="0"/>
          <w:szCs w:val="21"/>
        </w:rPr>
        <w:t>；而</w:t>
      </w:r>
      <w:commentRangeStart w:id="8"/>
      <w:r w:rsidRPr="0010574D">
        <w:rPr>
          <w:rFonts w:ascii="Arial" w:eastAsia="宋体" w:hAnsi="Arial" w:cs="Arial"/>
          <w:color w:val="212121"/>
          <w:kern w:val="0"/>
          <w:szCs w:val="21"/>
        </w:rPr>
        <w:t>期权空头最低风险</w:t>
      </w:r>
      <w:commentRangeEnd w:id="8"/>
      <w:r w:rsidR="00BB0EBF">
        <w:rPr>
          <w:rStyle w:val="aa"/>
        </w:rPr>
        <w:commentReference w:id="8"/>
      </w:r>
      <w:r w:rsidRPr="0010574D">
        <w:rPr>
          <w:rFonts w:ascii="Arial" w:eastAsia="宋体" w:hAnsi="Arial" w:cs="Arial"/>
          <w:color w:val="212121"/>
          <w:kern w:val="0"/>
          <w:szCs w:val="21"/>
        </w:rPr>
        <w:t>是对期权空头所要求的最低风险值。</w:t>
      </w:r>
    </w:p>
    <w:p w14:paraId="1C774F5A"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将同一商品的</w:t>
      </w:r>
      <w:r w:rsidRPr="008D5455">
        <w:rPr>
          <w:rFonts w:ascii="Arial" w:eastAsia="宋体" w:hAnsi="Arial" w:cs="Arial"/>
          <w:color w:val="212121"/>
          <w:kern w:val="0"/>
          <w:szCs w:val="21"/>
          <w:highlight w:val="yellow"/>
        </w:rPr>
        <w:t>价格扫描风险值</w:t>
      </w:r>
      <w:r w:rsidRPr="0010574D">
        <w:rPr>
          <w:rFonts w:ascii="Arial" w:eastAsia="宋体" w:hAnsi="Arial" w:cs="Arial"/>
          <w:color w:val="212121"/>
          <w:kern w:val="0"/>
          <w:szCs w:val="21"/>
        </w:rPr>
        <w:t>、不同到期月份期货合约与不同到期月份期权合约的</w:t>
      </w:r>
      <w:r w:rsidRPr="008D5455">
        <w:rPr>
          <w:rFonts w:ascii="Arial" w:eastAsia="宋体" w:hAnsi="Arial" w:cs="Arial"/>
          <w:color w:val="212121"/>
          <w:kern w:val="0"/>
          <w:szCs w:val="21"/>
          <w:highlight w:val="yellow"/>
        </w:rPr>
        <w:t>跨月价差风险值</w:t>
      </w:r>
      <w:r w:rsidRPr="0010574D">
        <w:rPr>
          <w:rFonts w:ascii="Arial" w:eastAsia="宋体" w:hAnsi="Arial" w:cs="Arial"/>
          <w:color w:val="212121"/>
          <w:kern w:val="0"/>
          <w:szCs w:val="21"/>
        </w:rPr>
        <w:t>（仅仅按照被抵</w:t>
      </w:r>
      <w:proofErr w:type="gramStart"/>
      <w:r w:rsidRPr="0010574D">
        <w:rPr>
          <w:rFonts w:ascii="Arial" w:eastAsia="宋体" w:hAnsi="Arial" w:cs="Arial"/>
          <w:color w:val="212121"/>
          <w:kern w:val="0"/>
          <w:szCs w:val="21"/>
        </w:rPr>
        <w:t>扣头寸额来</w:t>
      </w:r>
      <w:proofErr w:type="gramEnd"/>
      <w:r w:rsidRPr="0010574D">
        <w:rPr>
          <w:rFonts w:ascii="Arial" w:eastAsia="宋体" w:hAnsi="Arial" w:cs="Arial"/>
          <w:color w:val="212121"/>
          <w:kern w:val="0"/>
          <w:szCs w:val="21"/>
        </w:rPr>
        <w:t>计算）、期货合约在其交割月与期权合约在其到期月的</w:t>
      </w:r>
      <w:r w:rsidRPr="008D5455">
        <w:rPr>
          <w:rFonts w:ascii="Arial" w:eastAsia="宋体" w:hAnsi="Arial" w:cs="Arial"/>
          <w:color w:val="212121"/>
          <w:kern w:val="0"/>
          <w:szCs w:val="21"/>
          <w:highlight w:val="yellow"/>
        </w:rPr>
        <w:t>交割风险值</w:t>
      </w:r>
      <w:r w:rsidRPr="0010574D">
        <w:rPr>
          <w:rFonts w:ascii="Arial" w:eastAsia="宋体" w:hAnsi="Arial" w:cs="Arial"/>
          <w:color w:val="212121"/>
          <w:kern w:val="0"/>
          <w:szCs w:val="21"/>
        </w:rPr>
        <w:t>（分净头寸额与被抵扣头</w:t>
      </w:r>
      <w:proofErr w:type="gramStart"/>
      <w:r w:rsidRPr="0010574D">
        <w:rPr>
          <w:rFonts w:ascii="Arial" w:eastAsia="宋体" w:hAnsi="Arial" w:cs="Arial"/>
          <w:color w:val="212121"/>
          <w:kern w:val="0"/>
          <w:szCs w:val="21"/>
        </w:rPr>
        <w:t>寸额两种</w:t>
      </w:r>
      <w:proofErr w:type="gramEnd"/>
      <w:r w:rsidRPr="0010574D">
        <w:rPr>
          <w:rFonts w:ascii="Arial" w:eastAsia="宋体" w:hAnsi="Arial" w:cs="Arial"/>
          <w:color w:val="212121"/>
          <w:kern w:val="0"/>
          <w:szCs w:val="21"/>
        </w:rPr>
        <w:t>情形计算）三个风险值</w:t>
      </w:r>
      <w:r w:rsidRPr="008D5455">
        <w:rPr>
          <w:rFonts w:ascii="Arial" w:eastAsia="宋体" w:hAnsi="Arial" w:cs="Arial"/>
          <w:color w:val="212121"/>
          <w:kern w:val="0"/>
          <w:szCs w:val="21"/>
          <w:highlight w:val="yellow"/>
        </w:rPr>
        <w:t>加总</w:t>
      </w:r>
      <w:r w:rsidRPr="0010574D">
        <w:rPr>
          <w:rFonts w:ascii="Arial" w:eastAsia="宋体" w:hAnsi="Arial" w:cs="Arial"/>
          <w:color w:val="212121"/>
          <w:kern w:val="0"/>
          <w:szCs w:val="21"/>
        </w:rPr>
        <w:t>，得到的结果与期权空头头寸所要求的最低风险值进行比较，其中的较大值就是该商品组合的风险值。</w:t>
      </w:r>
    </w:p>
    <w:p w14:paraId="282BE80B"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BB0EBF">
        <w:rPr>
          <w:rFonts w:ascii="Arial" w:eastAsia="宋体" w:hAnsi="Arial" w:cs="Arial"/>
          <w:color w:val="212121"/>
          <w:kern w:val="0"/>
          <w:szCs w:val="21"/>
          <w:highlight w:val="yellow"/>
        </w:rPr>
        <w:t>将所有商品组合的风险值加总，再减去商品组合之间的价差抵扣，就是该投资组合的风险值。</w:t>
      </w:r>
      <w:r w:rsidRPr="0010574D">
        <w:rPr>
          <w:rFonts w:ascii="Arial" w:eastAsia="宋体" w:hAnsi="Arial" w:cs="Arial"/>
          <w:color w:val="212121"/>
          <w:kern w:val="0"/>
          <w:szCs w:val="21"/>
        </w:rPr>
        <w:t>一般而言，只有同一商品群内的商品组合之间具有价差抵扣。</w:t>
      </w:r>
      <w:r w:rsidRPr="00AF7E5D">
        <w:rPr>
          <w:rFonts w:ascii="Arial" w:eastAsia="宋体" w:hAnsi="Arial" w:cs="Arial"/>
          <w:color w:val="212121"/>
          <w:kern w:val="0"/>
          <w:szCs w:val="21"/>
          <w:highlight w:val="yellow"/>
        </w:rPr>
        <w:t>将投资组合的风险值减去整个投资组合中期权净值的金额，就得到了最终的交易所对客户所收取的保证金额度。</w:t>
      </w:r>
    </w:p>
    <w:p w14:paraId="3771B840"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（二）</w:t>
      </w:r>
      <w:r w:rsidRPr="00AF7E5D">
        <w:rPr>
          <w:rFonts w:ascii="Arial" w:eastAsia="宋体" w:hAnsi="Arial" w:cs="Arial"/>
          <w:color w:val="212121"/>
          <w:kern w:val="0"/>
          <w:szCs w:val="21"/>
          <w:highlight w:val="yellow"/>
        </w:rPr>
        <w:t>SPAN</w:t>
      </w:r>
      <w:r w:rsidRPr="00AF7E5D">
        <w:rPr>
          <w:rFonts w:ascii="Arial" w:eastAsia="宋体" w:hAnsi="Arial" w:cs="Arial"/>
          <w:color w:val="212121"/>
          <w:kern w:val="0"/>
          <w:szCs w:val="21"/>
          <w:highlight w:val="yellow"/>
        </w:rPr>
        <w:t>的参数设置</w:t>
      </w:r>
    </w:p>
    <w:p w14:paraId="20B64951"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不同的市场具有不同的市场特性，不同的交易所也具有</w:t>
      </w:r>
      <w:r w:rsidRPr="00A33945">
        <w:rPr>
          <w:rFonts w:ascii="Arial" w:eastAsia="宋体" w:hAnsi="Arial" w:cs="Arial"/>
          <w:color w:val="212121"/>
          <w:kern w:val="0"/>
          <w:szCs w:val="21"/>
          <w:highlight w:val="yellow"/>
        </w:rPr>
        <w:t>不同的风险管理理念</w:t>
      </w:r>
      <w:r w:rsidRPr="0010574D">
        <w:rPr>
          <w:rFonts w:ascii="Arial" w:eastAsia="宋体" w:hAnsi="Arial" w:cs="Arial"/>
          <w:color w:val="212121"/>
          <w:kern w:val="0"/>
          <w:szCs w:val="21"/>
        </w:rPr>
        <w:t>与具体措施，</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通过参数文件来体现这种</w:t>
      </w:r>
      <w:r w:rsidRPr="00A33945">
        <w:rPr>
          <w:rFonts w:ascii="Arial" w:eastAsia="宋体" w:hAnsi="Arial" w:cs="Arial"/>
          <w:color w:val="212121"/>
          <w:kern w:val="0"/>
          <w:szCs w:val="21"/>
          <w:highlight w:val="yellow"/>
        </w:rPr>
        <w:t>个性化</w:t>
      </w:r>
      <w:r w:rsidRPr="0010574D">
        <w:rPr>
          <w:rFonts w:ascii="Arial" w:eastAsia="宋体" w:hAnsi="Arial" w:cs="Arial"/>
          <w:color w:val="212121"/>
          <w:kern w:val="0"/>
          <w:szCs w:val="21"/>
        </w:rPr>
        <w:t>。</w:t>
      </w:r>
    </w:p>
    <w:p w14:paraId="0C2768A5"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lastRenderedPageBreak/>
        <w:t>SPAN</w:t>
      </w:r>
      <w:r w:rsidRPr="0010574D">
        <w:rPr>
          <w:rFonts w:ascii="Arial" w:eastAsia="宋体" w:hAnsi="Arial" w:cs="Arial"/>
          <w:color w:val="212121"/>
          <w:kern w:val="0"/>
          <w:szCs w:val="21"/>
        </w:rPr>
        <w:t>的参数文件主要包含</w:t>
      </w:r>
      <w:r w:rsidRPr="00A33945">
        <w:rPr>
          <w:rFonts w:ascii="Arial" w:eastAsia="宋体" w:hAnsi="Arial" w:cs="Arial"/>
          <w:color w:val="212121"/>
          <w:kern w:val="0"/>
          <w:szCs w:val="21"/>
          <w:highlight w:val="yellow"/>
        </w:rPr>
        <w:t>价格扫描区间（</w:t>
      </w:r>
      <w:r w:rsidRPr="00A33945">
        <w:rPr>
          <w:rFonts w:ascii="Arial" w:eastAsia="宋体" w:hAnsi="Arial" w:cs="Arial"/>
          <w:color w:val="212121"/>
          <w:kern w:val="0"/>
          <w:szCs w:val="21"/>
          <w:highlight w:val="yellow"/>
        </w:rPr>
        <w:t>Price Scan Range</w:t>
      </w:r>
      <w:r w:rsidRPr="00A33945">
        <w:rPr>
          <w:rFonts w:ascii="Arial" w:eastAsia="宋体" w:hAnsi="Arial" w:cs="Arial"/>
          <w:color w:val="212121"/>
          <w:kern w:val="0"/>
          <w:szCs w:val="21"/>
          <w:highlight w:val="yellow"/>
        </w:rPr>
        <w:t>）</w:t>
      </w:r>
      <w:r w:rsidRPr="0010574D">
        <w:rPr>
          <w:rFonts w:ascii="Arial" w:eastAsia="宋体" w:hAnsi="Arial" w:cs="Arial"/>
          <w:color w:val="212121"/>
          <w:kern w:val="0"/>
          <w:szCs w:val="21"/>
        </w:rPr>
        <w:t>、</w:t>
      </w:r>
      <w:r w:rsidRPr="00A33945">
        <w:rPr>
          <w:rFonts w:ascii="Arial" w:eastAsia="宋体" w:hAnsi="Arial" w:cs="Arial"/>
          <w:color w:val="212121"/>
          <w:kern w:val="0"/>
          <w:szCs w:val="21"/>
          <w:highlight w:val="yellow"/>
        </w:rPr>
        <w:t>波动率扫描区间（</w:t>
      </w:r>
      <w:r w:rsidRPr="00A33945">
        <w:rPr>
          <w:rFonts w:ascii="Arial" w:eastAsia="宋体" w:hAnsi="Arial" w:cs="Arial"/>
          <w:color w:val="212121"/>
          <w:kern w:val="0"/>
          <w:szCs w:val="21"/>
          <w:highlight w:val="yellow"/>
        </w:rPr>
        <w:t>Volatility Scan Range</w:t>
      </w:r>
      <w:r w:rsidRPr="00A33945">
        <w:rPr>
          <w:rFonts w:ascii="Arial" w:eastAsia="宋体" w:hAnsi="Arial" w:cs="Arial"/>
          <w:color w:val="212121"/>
          <w:kern w:val="0"/>
          <w:szCs w:val="21"/>
          <w:highlight w:val="yellow"/>
        </w:rPr>
        <w:t>）</w:t>
      </w:r>
      <w:r w:rsidRPr="0010574D">
        <w:rPr>
          <w:rFonts w:ascii="Arial" w:eastAsia="宋体" w:hAnsi="Arial" w:cs="Arial"/>
          <w:color w:val="212121"/>
          <w:kern w:val="0"/>
          <w:szCs w:val="21"/>
        </w:rPr>
        <w:t>、</w:t>
      </w:r>
      <w:r w:rsidRPr="00A33945">
        <w:rPr>
          <w:rFonts w:ascii="Arial" w:eastAsia="宋体" w:hAnsi="Arial" w:cs="Arial"/>
          <w:color w:val="212121"/>
          <w:kern w:val="0"/>
          <w:szCs w:val="21"/>
          <w:highlight w:val="yellow"/>
        </w:rPr>
        <w:t>同商品跨月价差（</w:t>
      </w:r>
      <w:proofErr w:type="spellStart"/>
      <w:r w:rsidRPr="00A33945">
        <w:rPr>
          <w:rFonts w:ascii="Arial" w:eastAsia="宋体" w:hAnsi="Arial" w:cs="Arial"/>
          <w:color w:val="212121"/>
          <w:kern w:val="0"/>
          <w:szCs w:val="21"/>
          <w:highlight w:val="yellow"/>
        </w:rPr>
        <w:t>Intracommodity</w:t>
      </w:r>
      <w:proofErr w:type="spellEnd"/>
      <w:r w:rsidRPr="00A33945">
        <w:rPr>
          <w:rFonts w:ascii="Arial" w:eastAsia="宋体" w:hAnsi="Arial" w:cs="Arial"/>
          <w:color w:val="212121"/>
          <w:kern w:val="0"/>
          <w:szCs w:val="21"/>
          <w:highlight w:val="yellow"/>
        </w:rPr>
        <w:t xml:space="preserve"> Spread Charge</w:t>
      </w:r>
      <w:r w:rsidRPr="00A33945">
        <w:rPr>
          <w:rFonts w:ascii="Arial" w:eastAsia="宋体" w:hAnsi="Arial" w:cs="Arial"/>
          <w:color w:val="212121"/>
          <w:kern w:val="0"/>
          <w:szCs w:val="21"/>
          <w:highlight w:val="yellow"/>
        </w:rPr>
        <w:t>）</w:t>
      </w:r>
      <w:r w:rsidRPr="0010574D">
        <w:rPr>
          <w:rFonts w:ascii="Arial" w:eastAsia="宋体" w:hAnsi="Arial" w:cs="Arial"/>
          <w:color w:val="212121"/>
          <w:kern w:val="0"/>
          <w:szCs w:val="21"/>
        </w:rPr>
        <w:t>、</w:t>
      </w:r>
      <w:r w:rsidRPr="00A33945">
        <w:rPr>
          <w:rFonts w:ascii="Arial" w:eastAsia="宋体" w:hAnsi="Arial" w:cs="Arial"/>
          <w:color w:val="212121"/>
          <w:kern w:val="0"/>
          <w:szCs w:val="21"/>
          <w:highlight w:val="yellow"/>
        </w:rPr>
        <w:t>交割月保证金提高（</w:t>
      </w:r>
      <w:r w:rsidRPr="00A33945">
        <w:rPr>
          <w:rFonts w:ascii="Arial" w:eastAsia="宋体" w:hAnsi="Arial" w:cs="Arial"/>
          <w:color w:val="212121"/>
          <w:kern w:val="0"/>
          <w:szCs w:val="21"/>
          <w:highlight w:val="yellow"/>
        </w:rPr>
        <w:t>Delivery Charge</w:t>
      </w:r>
      <w:r w:rsidRPr="00A33945">
        <w:rPr>
          <w:rFonts w:ascii="Arial" w:eastAsia="宋体" w:hAnsi="Arial" w:cs="Arial"/>
          <w:color w:val="212121"/>
          <w:kern w:val="0"/>
          <w:szCs w:val="21"/>
          <w:highlight w:val="yellow"/>
        </w:rPr>
        <w:t>）</w:t>
      </w:r>
      <w:r w:rsidRPr="0010574D">
        <w:rPr>
          <w:rFonts w:ascii="Arial" w:eastAsia="宋体" w:hAnsi="Arial" w:cs="Arial"/>
          <w:color w:val="212121"/>
          <w:kern w:val="0"/>
          <w:szCs w:val="21"/>
        </w:rPr>
        <w:t>、</w:t>
      </w:r>
      <w:r w:rsidRPr="00A33945">
        <w:rPr>
          <w:rFonts w:ascii="Arial" w:eastAsia="宋体" w:hAnsi="Arial" w:cs="Arial"/>
          <w:color w:val="212121"/>
          <w:kern w:val="0"/>
          <w:szCs w:val="21"/>
          <w:highlight w:val="yellow"/>
        </w:rPr>
        <w:t>期权空头最低保证金（</w:t>
      </w:r>
      <w:r w:rsidRPr="00A33945">
        <w:rPr>
          <w:rFonts w:ascii="Arial" w:eastAsia="宋体" w:hAnsi="Arial" w:cs="Arial"/>
          <w:color w:val="212121"/>
          <w:kern w:val="0"/>
          <w:szCs w:val="21"/>
          <w:highlight w:val="yellow"/>
        </w:rPr>
        <w:t>Short Option Minimum</w:t>
      </w:r>
      <w:r w:rsidRPr="00A33945">
        <w:rPr>
          <w:rFonts w:ascii="Arial" w:eastAsia="宋体" w:hAnsi="Arial" w:cs="Arial"/>
          <w:color w:val="212121"/>
          <w:kern w:val="0"/>
          <w:szCs w:val="21"/>
          <w:highlight w:val="yellow"/>
        </w:rPr>
        <w:t>）</w:t>
      </w:r>
      <w:r w:rsidRPr="0010574D">
        <w:rPr>
          <w:rFonts w:ascii="Arial" w:eastAsia="宋体" w:hAnsi="Arial" w:cs="Arial"/>
          <w:color w:val="212121"/>
          <w:kern w:val="0"/>
          <w:szCs w:val="21"/>
        </w:rPr>
        <w:t>、</w:t>
      </w:r>
      <w:r w:rsidRPr="00A33945">
        <w:rPr>
          <w:rFonts w:ascii="Arial" w:eastAsia="宋体" w:hAnsi="Arial" w:cs="Arial"/>
          <w:color w:val="212121"/>
          <w:kern w:val="0"/>
          <w:szCs w:val="21"/>
          <w:highlight w:val="yellow"/>
        </w:rPr>
        <w:t>商品组间保证金信用抵扣（</w:t>
      </w:r>
      <w:proofErr w:type="spellStart"/>
      <w:r w:rsidRPr="00A33945">
        <w:rPr>
          <w:rFonts w:ascii="Arial" w:eastAsia="宋体" w:hAnsi="Arial" w:cs="Arial"/>
          <w:color w:val="212121"/>
          <w:kern w:val="0"/>
          <w:szCs w:val="21"/>
          <w:highlight w:val="yellow"/>
        </w:rPr>
        <w:t>Intercommodity</w:t>
      </w:r>
      <w:proofErr w:type="spellEnd"/>
      <w:r w:rsidRPr="00A33945">
        <w:rPr>
          <w:rFonts w:ascii="Arial" w:eastAsia="宋体" w:hAnsi="Arial" w:cs="Arial"/>
          <w:color w:val="212121"/>
          <w:kern w:val="0"/>
          <w:szCs w:val="21"/>
          <w:highlight w:val="yellow"/>
        </w:rPr>
        <w:t xml:space="preserve"> Spread Credit</w:t>
      </w:r>
      <w:r w:rsidRPr="00A33945">
        <w:rPr>
          <w:rFonts w:ascii="Arial" w:eastAsia="宋体" w:hAnsi="Arial" w:cs="Arial"/>
          <w:color w:val="212121"/>
          <w:kern w:val="0"/>
          <w:szCs w:val="21"/>
          <w:highlight w:val="yellow"/>
        </w:rPr>
        <w:t>）</w:t>
      </w:r>
      <w:r w:rsidRPr="0010574D">
        <w:rPr>
          <w:rFonts w:ascii="Arial" w:eastAsia="宋体" w:hAnsi="Arial" w:cs="Arial"/>
          <w:color w:val="212121"/>
          <w:kern w:val="0"/>
          <w:szCs w:val="21"/>
        </w:rPr>
        <w:t>六个方面的参数。</w:t>
      </w:r>
    </w:p>
    <w:p w14:paraId="5EE6289A"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1</w:t>
      </w:r>
      <w:r w:rsidRPr="0010574D">
        <w:rPr>
          <w:rFonts w:ascii="Arial" w:eastAsia="宋体" w:hAnsi="Arial" w:cs="Arial"/>
          <w:color w:val="212121"/>
          <w:kern w:val="0"/>
          <w:szCs w:val="21"/>
        </w:rPr>
        <w:t>、</w:t>
      </w:r>
      <w:r w:rsidRPr="00A33945">
        <w:rPr>
          <w:rFonts w:ascii="Arial" w:eastAsia="宋体" w:hAnsi="Arial" w:cs="Arial"/>
          <w:color w:val="212121"/>
          <w:kern w:val="0"/>
          <w:szCs w:val="21"/>
          <w:highlight w:val="yellow"/>
        </w:rPr>
        <w:t>价格扫描区间</w:t>
      </w:r>
    </w:p>
    <w:p w14:paraId="3EB091A8"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价格扫描区间参数用来</w:t>
      </w:r>
      <w:proofErr w:type="gramStart"/>
      <w:r w:rsidRPr="0010574D">
        <w:rPr>
          <w:rFonts w:ascii="Arial" w:eastAsia="宋体" w:hAnsi="Arial" w:cs="Arial"/>
          <w:color w:val="212121"/>
          <w:kern w:val="0"/>
          <w:szCs w:val="21"/>
        </w:rPr>
        <w:t>刻划</w:t>
      </w:r>
      <w:proofErr w:type="gramEnd"/>
      <w:r w:rsidRPr="0010574D">
        <w:rPr>
          <w:rFonts w:ascii="Arial" w:eastAsia="宋体" w:hAnsi="Arial" w:cs="Arial"/>
          <w:color w:val="212121"/>
          <w:kern w:val="0"/>
          <w:szCs w:val="21"/>
        </w:rPr>
        <w:t>在特定期间内以及特定的置信区间下，某一具体标的资产价格的</w:t>
      </w:r>
      <w:r w:rsidRPr="00A33945">
        <w:rPr>
          <w:rFonts w:ascii="Arial" w:eastAsia="宋体" w:hAnsi="Arial" w:cs="Arial"/>
          <w:color w:val="212121"/>
          <w:kern w:val="0"/>
          <w:szCs w:val="21"/>
          <w:highlight w:val="yellow"/>
        </w:rPr>
        <w:t>波动范围</w:t>
      </w:r>
      <w:r w:rsidRPr="0010574D">
        <w:rPr>
          <w:rFonts w:ascii="Arial" w:eastAsia="宋体" w:hAnsi="Arial" w:cs="Arial"/>
          <w:color w:val="212121"/>
          <w:kern w:val="0"/>
          <w:szCs w:val="21"/>
        </w:rPr>
        <w:t>，确定此参数的基础是确定</w:t>
      </w:r>
      <w:r w:rsidRPr="00A33945">
        <w:rPr>
          <w:rFonts w:ascii="Arial" w:eastAsia="宋体" w:hAnsi="Arial" w:cs="Arial"/>
          <w:color w:val="212121"/>
          <w:kern w:val="0"/>
          <w:szCs w:val="21"/>
          <w:highlight w:val="yellow"/>
        </w:rPr>
        <w:t>标的资产价格的分布曲线</w:t>
      </w:r>
      <w:r w:rsidRPr="0010574D">
        <w:rPr>
          <w:rFonts w:ascii="Arial" w:eastAsia="宋体" w:hAnsi="Arial" w:cs="Arial"/>
          <w:color w:val="212121"/>
          <w:kern w:val="0"/>
          <w:szCs w:val="21"/>
        </w:rPr>
        <w:t>。</w:t>
      </w:r>
    </w:p>
    <w:p w14:paraId="16D0C196"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绝大多数衍生品市场的标的资产价格行为都呈现出</w:t>
      </w:r>
      <w:commentRangeStart w:id="9"/>
      <w:proofErr w:type="gramStart"/>
      <w:r w:rsidRPr="00EA7411">
        <w:rPr>
          <w:rFonts w:ascii="Arial" w:eastAsia="宋体" w:hAnsi="Arial" w:cs="Arial"/>
          <w:color w:val="212121"/>
          <w:kern w:val="0"/>
          <w:szCs w:val="21"/>
          <w:highlight w:val="yellow"/>
        </w:rPr>
        <w:t>高峰厚尾</w:t>
      </w:r>
      <w:commentRangeEnd w:id="9"/>
      <w:proofErr w:type="gramEnd"/>
      <w:r w:rsidR="00EA7411">
        <w:rPr>
          <w:rStyle w:val="aa"/>
        </w:rPr>
        <w:commentReference w:id="9"/>
      </w:r>
      <w:r w:rsidRPr="0010574D">
        <w:rPr>
          <w:rFonts w:ascii="Arial" w:eastAsia="宋体" w:hAnsi="Arial" w:cs="Arial"/>
          <w:color w:val="212121"/>
          <w:kern w:val="0"/>
          <w:szCs w:val="21"/>
        </w:rPr>
        <w:t>的形态，并往往具有一定的</w:t>
      </w:r>
      <w:r w:rsidRPr="00EA7411">
        <w:rPr>
          <w:rFonts w:ascii="Arial" w:eastAsia="宋体" w:hAnsi="Arial" w:cs="Arial"/>
          <w:color w:val="212121"/>
          <w:kern w:val="0"/>
          <w:szCs w:val="21"/>
          <w:highlight w:val="yellow"/>
        </w:rPr>
        <w:t>偏度</w:t>
      </w:r>
      <w:r w:rsidRPr="0010574D">
        <w:rPr>
          <w:rFonts w:ascii="Arial" w:eastAsia="宋体" w:hAnsi="Arial" w:cs="Arial"/>
          <w:color w:val="212121"/>
          <w:kern w:val="0"/>
          <w:szCs w:val="21"/>
        </w:rPr>
        <w:t>，因此它们的分布就</w:t>
      </w:r>
      <w:r w:rsidRPr="00EA7411">
        <w:rPr>
          <w:rFonts w:ascii="Arial" w:eastAsia="宋体" w:hAnsi="Arial" w:cs="Arial"/>
          <w:color w:val="212121"/>
          <w:kern w:val="0"/>
          <w:szCs w:val="21"/>
          <w:highlight w:val="yellow"/>
        </w:rPr>
        <w:t>不是一个正态分布</w:t>
      </w:r>
      <w:r w:rsidRPr="0010574D">
        <w:rPr>
          <w:rFonts w:ascii="Arial" w:eastAsia="宋体" w:hAnsi="Arial" w:cs="Arial"/>
          <w:color w:val="212121"/>
          <w:kern w:val="0"/>
          <w:szCs w:val="21"/>
        </w:rPr>
        <w:t>。而关于非正态分布的分析往往过于复杂（也不能保证标的资产价格行为与某一分布的吻合程度就优于正态分布），加上市场特性往往随时间的变迁而改变，因此需要考虑采用</w:t>
      </w:r>
      <w:r w:rsidRPr="00EA7411">
        <w:rPr>
          <w:rFonts w:ascii="Arial" w:eastAsia="宋体" w:hAnsi="Arial" w:cs="Arial"/>
          <w:color w:val="212121"/>
          <w:kern w:val="0"/>
          <w:szCs w:val="21"/>
          <w:highlight w:val="yellow"/>
        </w:rPr>
        <w:t>Rosenblatt</w:t>
      </w:r>
      <w:r w:rsidRPr="00EA7411">
        <w:rPr>
          <w:rFonts w:ascii="Arial" w:eastAsia="宋体" w:hAnsi="Arial" w:cs="Arial"/>
          <w:color w:val="212121"/>
          <w:kern w:val="0"/>
          <w:szCs w:val="21"/>
          <w:highlight w:val="yellow"/>
        </w:rPr>
        <w:t>估计</w:t>
      </w:r>
      <w:r w:rsidRPr="0010574D">
        <w:rPr>
          <w:rFonts w:ascii="Arial" w:eastAsia="宋体" w:hAnsi="Arial" w:cs="Arial"/>
          <w:color w:val="212121"/>
          <w:kern w:val="0"/>
          <w:szCs w:val="21"/>
        </w:rPr>
        <w:t>或者</w:t>
      </w:r>
      <w:proofErr w:type="gramStart"/>
      <w:r w:rsidRPr="00EA7411">
        <w:rPr>
          <w:rFonts w:ascii="Arial" w:eastAsia="宋体" w:hAnsi="Arial" w:cs="Arial"/>
          <w:color w:val="212121"/>
          <w:kern w:val="0"/>
          <w:szCs w:val="21"/>
          <w:highlight w:val="yellow"/>
        </w:rPr>
        <w:t>核估计</w:t>
      </w:r>
      <w:proofErr w:type="gramEnd"/>
      <w:r w:rsidRPr="0010574D">
        <w:rPr>
          <w:rFonts w:ascii="Arial" w:eastAsia="宋体" w:hAnsi="Arial" w:cs="Arial"/>
          <w:color w:val="212121"/>
          <w:kern w:val="0"/>
          <w:szCs w:val="21"/>
        </w:rPr>
        <w:t>的</w:t>
      </w:r>
      <w:r w:rsidRPr="00EA7411">
        <w:rPr>
          <w:rFonts w:ascii="Arial" w:eastAsia="宋体" w:hAnsi="Arial" w:cs="Arial"/>
          <w:color w:val="212121"/>
          <w:kern w:val="0"/>
          <w:szCs w:val="21"/>
          <w:highlight w:val="yellow"/>
        </w:rPr>
        <w:t>非参数估计方法</w:t>
      </w:r>
      <w:r w:rsidRPr="0010574D">
        <w:rPr>
          <w:rFonts w:ascii="Arial" w:eastAsia="宋体" w:hAnsi="Arial" w:cs="Arial"/>
          <w:color w:val="212121"/>
          <w:kern w:val="0"/>
          <w:szCs w:val="21"/>
        </w:rPr>
        <w:t>来确定标的资产价格的分布曲线。</w:t>
      </w:r>
    </w:p>
    <w:p w14:paraId="619F4C04"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标的资产价格的分布</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的</w:t>
      </w:r>
      <w:r w:rsidRPr="0010574D">
        <w:rPr>
          <w:rFonts w:ascii="Arial" w:eastAsia="宋体" w:hAnsi="Arial" w:cs="Arial"/>
          <w:color w:val="212121"/>
          <w:kern w:val="0"/>
          <w:szCs w:val="21"/>
        </w:rPr>
        <w:t>Rosenblatt</w:t>
      </w:r>
      <w:r w:rsidRPr="0010574D">
        <w:rPr>
          <w:rFonts w:ascii="Arial" w:eastAsia="宋体" w:hAnsi="Arial" w:cs="Arial"/>
          <w:color w:val="212121"/>
          <w:kern w:val="0"/>
          <w:szCs w:val="21"/>
        </w:rPr>
        <w:t>估计为</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，其中</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称为</w:t>
      </w:r>
      <w:r w:rsidRPr="00EA7411">
        <w:rPr>
          <w:rFonts w:ascii="Arial" w:eastAsia="宋体" w:hAnsi="Arial" w:cs="Arial"/>
          <w:color w:val="212121"/>
          <w:kern w:val="0"/>
          <w:szCs w:val="21"/>
          <w:highlight w:val="yellow"/>
        </w:rPr>
        <w:t>窗宽</w:t>
      </w:r>
      <w:r w:rsidRPr="0010574D">
        <w:rPr>
          <w:rFonts w:ascii="Arial" w:eastAsia="宋体" w:hAnsi="Arial" w:cs="Arial"/>
          <w:color w:val="212121"/>
          <w:kern w:val="0"/>
          <w:szCs w:val="21"/>
        </w:rPr>
        <w:t>，</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，即仅当</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时</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，其余</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w:t>
      </w:r>
    </w:p>
    <w:p w14:paraId="37341BF5"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标的资产价格的分布</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的</w:t>
      </w:r>
      <w:proofErr w:type="gramStart"/>
      <w:r w:rsidRPr="0010574D">
        <w:rPr>
          <w:rFonts w:ascii="Arial" w:eastAsia="宋体" w:hAnsi="Arial" w:cs="Arial"/>
          <w:color w:val="212121"/>
          <w:kern w:val="0"/>
          <w:szCs w:val="21"/>
        </w:rPr>
        <w:t>核估计</w:t>
      </w:r>
      <w:proofErr w:type="gramEnd"/>
      <w:r w:rsidRPr="0010574D">
        <w:rPr>
          <w:rFonts w:ascii="Arial" w:eastAsia="宋体" w:hAnsi="Arial" w:cs="Arial"/>
          <w:color w:val="212121"/>
          <w:kern w:val="0"/>
          <w:szCs w:val="21"/>
        </w:rPr>
        <w:t>为</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，其中</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称为</w:t>
      </w:r>
      <w:r w:rsidRPr="00EA7411">
        <w:rPr>
          <w:rFonts w:ascii="Arial" w:eastAsia="宋体" w:hAnsi="Arial" w:cs="Arial"/>
          <w:color w:val="212121"/>
          <w:kern w:val="0"/>
          <w:szCs w:val="21"/>
          <w:highlight w:val="yellow"/>
        </w:rPr>
        <w:t>窗宽</w:t>
      </w:r>
      <w:r w:rsidRPr="0010574D">
        <w:rPr>
          <w:rFonts w:ascii="Arial" w:eastAsia="宋体" w:hAnsi="Arial" w:cs="Arial"/>
          <w:color w:val="212121"/>
          <w:kern w:val="0"/>
          <w:szCs w:val="21"/>
        </w:rPr>
        <w:t>，</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称为</w:t>
      </w:r>
      <w:r w:rsidRPr="00EA7411">
        <w:rPr>
          <w:rFonts w:ascii="Arial" w:eastAsia="宋体" w:hAnsi="Arial" w:cs="Arial"/>
          <w:color w:val="212121"/>
          <w:kern w:val="0"/>
          <w:szCs w:val="21"/>
          <w:highlight w:val="yellow"/>
        </w:rPr>
        <w:t>核函数</w:t>
      </w:r>
      <w:r w:rsidRPr="0010574D">
        <w:rPr>
          <w:rFonts w:ascii="Arial" w:eastAsia="宋体" w:hAnsi="Arial" w:cs="Arial"/>
          <w:color w:val="212121"/>
          <w:kern w:val="0"/>
          <w:szCs w:val="21"/>
        </w:rPr>
        <w:t>（一般采为</w:t>
      </w:r>
      <w:r w:rsidRPr="00EA7411">
        <w:rPr>
          <w:rFonts w:ascii="Arial" w:eastAsia="宋体" w:hAnsi="Arial" w:cs="Arial"/>
          <w:color w:val="212121"/>
          <w:kern w:val="0"/>
          <w:szCs w:val="21"/>
          <w:highlight w:val="yellow"/>
        </w:rPr>
        <w:t>对称的密度函数</w:t>
      </w:r>
      <w:r w:rsidRPr="0010574D">
        <w:rPr>
          <w:rFonts w:ascii="Arial" w:eastAsia="宋体" w:hAnsi="Arial" w:cs="Arial"/>
          <w:color w:val="212121"/>
          <w:kern w:val="0"/>
          <w:szCs w:val="21"/>
        </w:rPr>
        <w:t>）。</w:t>
      </w:r>
    </w:p>
    <w:p w14:paraId="65214C0F"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在实际应用中，一个关键的因素是</w:t>
      </w:r>
      <w:r w:rsidRPr="00EA7411">
        <w:rPr>
          <w:rFonts w:ascii="Arial" w:eastAsia="宋体" w:hAnsi="Arial" w:cs="Arial"/>
          <w:color w:val="212121"/>
          <w:kern w:val="0"/>
          <w:szCs w:val="21"/>
          <w:highlight w:val="yellow"/>
        </w:rPr>
        <w:t>对窗宽</w:t>
      </w:r>
      <w:r w:rsidRPr="00EA7411">
        <w:rPr>
          <w:rFonts w:ascii="Arial" w:eastAsia="宋体" w:hAnsi="Arial" w:cs="Arial"/>
          <w:color w:val="212121"/>
          <w:kern w:val="0"/>
          <w:szCs w:val="21"/>
          <w:highlight w:val="yellow"/>
        </w:rPr>
        <w:t xml:space="preserve"> </w:t>
      </w:r>
      <w:r w:rsidRPr="00EA7411">
        <w:rPr>
          <w:rFonts w:ascii="Arial" w:eastAsia="宋体" w:hAnsi="Arial" w:cs="Arial"/>
          <w:color w:val="212121"/>
          <w:kern w:val="0"/>
          <w:szCs w:val="21"/>
          <w:highlight w:val="yellow"/>
        </w:rPr>
        <w:t>的确定</w:t>
      </w:r>
      <w:r w:rsidRPr="0010574D">
        <w:rPr>
          <w:rFonts w:ascii="Arial" w:eastAsia="宋体" w:hAnsi="Arial" w:cs="Arial"/>
          <w:color w:val="212121"/>
          <w:kern w:val="0"/>
          <w:szCs w:val="21"/>
        </w:rPr>
        <w:t>。</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越大，则曲线光滑得越好，但可能失去有用信息导致拟合效果不好；反之，</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越小，则拟合越好，但可能光滑得不够，也可能无法把有用信息与干扰分开。</w:t>
      </w:r>
    </w:p>
    <w:p w14:paraId="496FD548"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选取窗宽不宜采用最常见的极</w:t>
      </w:r>
      <w:proofErr w:type="gramStart"/>
      <w:r w:rsidRPr="0010574D">
        <w:rPr>
          <w:rFonts w:ascii="Arial" w:eastAsia="宋体" w:hAnsi="Arial" w:cs="Arial"/>
          <w:color w:val="212121"/>
          <w:kern w:val="0"/>
          <w:szCs w:val="21"/>
        </w:rPr>
        <w:t>小预测</w:t>
      </w:r>
      <w:proofErr w:type="gramEnd"/>
      <w:r w:rsidRPr="0010574D">
        <w:rPr>
          <w:rFonts w:ascii="Arial" w:eastAsia="宋体" w:hAnsi="Arial" w:cs="Arial"/>
          <w:color w:val="212121"/>
          <w:kern w:val="0"/>
          <w:szCs w:val="21"/>
        </w:rPr>
        <w:t>均方误差准则，而应该考虑诸如</w:t>
      </w:r>
      <w:r w:rsidRPr="00EA7411">
        <w:rPr>
          <w:rFonts w:ascii="Arial" w:eastAsia="宋体" w:hAnsi="Arial" w:cs="Arial"/>
          <w:color w:val="212121"/>
          <w:kern w:val="0"/>
          <w:szCs w:val="21"/>
          <w:highlight w:val="yellow"/>
        </w:rPr>
        <w:t>交叉核实法</w:t>
      </w:r>
      <w:r w:rsidRPr="0010574D">
        <w:rPr>
          <w:rFonts w:ascii="Arial" w:eastAsia="宋体" w:hAnsi="Arial" w:cs="Arial"/>
          <w:color w:val="212121"/>
          <w:kern w:val="0"/>
          <w:szCs w:val="21"/>
        </w:rPr>
        <w:t>的准则。交叉核实法中的加权预测均方误差为</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，其中</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是基于</w:t>
      </w:r>
      <w:r w:rsidRPr="0010574D">
        <w:rPr>
          <w:rFonts w:ascii="Arial" w:eastAsia="宋体" w:hAnsi="Arial" w:cs="Arial"/>
          <w:color w:val="212121"/>
          <w:kern w:val="0"/>
          <w:szCs w:val="21"/>
        </w:rPr>
        <w:t xml:space="preserve"> </w:t>
      </w:r>
      <w:proofErr w:type="gramStart"/>
      <w:r w:rsidRPr="0010574D">
        <w:rPr>
          <w:rFonts w:ascii="Arial" w:eastAsia="宋体" w:hAnsi="Arial" w:cs="Arial"/>
          <w:color w:val="212121"/>
          <w:kern w:val="0"/>
          <w:szCs w:val="21"/>
        </w:rPr>
        <w:t>个</w:t>
      </w:r>
      <w:proofErr w:type="gramEnd"/>
      <w:r w:rsidRPr="0010574D">
        <w:rPr>
          <w:rFonts w:ascii="Arial" w:eastAsia="宋体" w:hAnsi="Arial" w:cs="Arial"/>
          <w:color w:val="212121"/>
          <w:kern w:val="0"/>
          <w:szCs w:val="21"/>
        </w:rPr>
        <w:t>数据的对</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的非参数估计，</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是为消除极端值对窗宽的选取的影响而设定的一个权函数，其选取依赖于我们对估计分布的曲线形状的要求。</w:t>
      </w:r>
    </w:p>
    <w:p w14:paraId="62561255"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基于</w:t>
      </w:r>
      <w:r w:rsidRPr="00BA2509">
        <w:rPr>
          <w:rFonts w:ascii="Arial" w:eastAsia="宋体" w:hAnsi="Arial" w:cs="Arial"/>
          <w:color w:val="212121"/>
          <w:kern w:val="0"/>
          <w:szCs w:val="21"/>
          <w:highlight w:val="yellow"/>
        </w:rPr>
        <w:t>距离现在越远的历史数据对预测的贡献应该越小</w:t>
      </w:r>
      <w:r w:rsidRPr="0010574D">
        <w:rPr>
          <w:rFonts w:ascii="Arial" w:eastAsia="宋体" w:hAnsi="Arial" w:cs="Arial"/>
          <w:color w:val="212121"/>
          <w:kern w:val="0"/>
          <w:szCs w:val="21"/>
        </w:rPr>
        <w:t>的理念，我们还可以进一步对上述结果进行诸如</w:t>
      </w:r>
      <w:r w:rsidRPr="002C0078">
        <w:rPr>
          <w:rFonts w:ascii="Arial" w:eastAsia="宋体" w:hAnsi="Arial" w:cs="Arial"/>
          <w:color w:val="212121"/>
          <w:kern w:val="0"/>
          <w:szCs w:val="21"/>
          <w:highlight w:val="yellow"/>
        </w:rPr>
        <w:t>指数平滑的修正处理</w:t>
      </w:r>
      <w:r w:rsidRPr="0010574D">
        <w:rPr>
          <w:rFonts w:ascii="Arial" w:eastAsia="宋体" w:hAnsi="Arial" w:cs="Arial"/>
          <w:color w:val="212121"/>
          <w:kern w:val="0"/>
          <w:szCs w:val="21"/>
        </w:rPr>
        <w:t>。</w:t>
      </w:r>
    </w:p>
    <w:p w14:paraId="1B0A254B"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有了</w:t>
      </w:r>
      <w:r w:rsidRPr="002C0078">
        <w:rPr>
          <w:rFonts w:ascii="Arial" w:eastAsia="宋体" w:hAnsi="Arial" w:cs="Arial"/>
          <w:color w:val="212121"/>
          <w:kern w:val="0"/>
          <w:szCs w:val="21"/>
          <w:highlight w:val="yellow"/>
        </w:rPr>
        <w:t>标的资产价格分布</w:t>
      </w:r>
      <w:r w:rsidRPr="0010574D">
        <w:rPr>
          <w:rFonts w:ascii="Arial" w:eastAsia="宋体" w:hAnsi="Arial" w:cs="Arial"/>
          <w:color w:val="212121"/>
          <w:kern w:val="0"/>
          <w:szCs w:val="21"/>
        </w:rPr>
        <w:t>之后，就可以很方便地获得在特定的期间内（比如一个交易日）以及特定的置信区间下（比如</w:t>
      </w:r>
      <w:r w:rsidRPr="0010574D">
        <w:rPr>
          <w:rFonts w:ascii="Arial" w:eastAsia="宋体" w:hAnsi="Arial" w:cs="Arial"/>
          <w:color w:val="212121"/>
          <w:kern w:val="0"/>
          <w:szCs w:val="21"/>
        </w:rPr>
        <w:t>95</w:t>
      </w:r>
      <w:r w:rsidRPr="0010574D">
        <w:rPr>
          <w:rFonts w:ascii="Arial" w:eastAsia="宋体" w:hAnsi="Arial" w:cs="Arial"/>
          <w:color w:val="212121"/>
          <w:kern w:val="0"/>
          <w:szCs w:val="21"/>
        </w:rPr>
        <w:t>％）价格的波动范围，也就是价格扫描区间参数。</w:t>
      </w:r>
    </w:p>
    <w:p w14:paraId="6F455CA0"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SPAN</w:t>
      </w:r>
      <w:r w:rsidRPr="0010574D">
        <w:rPr>
          <w:rFonts w:ascii="Arial" w:eastAsia="宋体" w:hAnsi="Arial" w:cs="Arial"/>
          <w:color w:val="212121"/>
          <w:kern w:val="0"/>
          <w:szCs w:val="21"/>
        </w:rPr>
        <w:t>系统一般</w:t>
      </w:r>
      <w:r w:rsidRPr="00FA13C4">
        <w:rPr>
          <w:rFonts w:ascii="Arial" w:eastAsia="宋体" w:hAnsi="Arial" w:cs="Arial"/>
          <w:color w:val="212121"/>
          <w:kern w:val="0"/>
          <w:szCs w:val="21"/>
          <w:highlight w:val="yellow"/>
        </w:rPr>
        <w:t>模拟</w:t>
      </w:r>
      <w:r w:rsidRPr="00FA13C4">
        <w:rPr>
          <w:rFonts w:ascii="Arial" w:eastAsia="宋体" w:hAnsi="Arial" w:cs="Arial"/>
          <w:color w:val="212121"/>
          <w:kern w:val="0"/>
          <w:szCs w:val="21"/>
          <w:highlight w:val="yellow"/>
        </w:rPr>
        <w:t>16</w:t>
      </w:r>
      <w:r w:rsidRPr="00FA13C4">
        <w:rPr>
          <w:rFonts w:ascii="Arial" w:eastAsia="宋体" w:hAnsi="Arial" w:cs="Arial"/>
          <w:color w:val="212121"/>
          <w:kern w:val="0"/>
          <w:szCs w:val="21"/>
          <w:highlight w:val="yellow"/>
        </w:rPr>
        <w:t>种市场情形</w:t>
      </w:r>
      <w:r w:rsidRPr="0010574D">
        <w:rPr>
          <w:rFonts w:ascii="Arial" w:eastAsia="宋体" w:hAnsi="Arial" w:cs="Arial"/>
          <w:color w:val="212121"/>
          <w:kern w:val="0"/>
          <w:szCs w:val="21"/>
        </w:rPr>
        <w:t>，这</w:t>
      </w:r>
      <w:r w:rsidRPr="0010574D">
        <w:rPr>
          <w:rFonts w:ascii="Arial" w:eastAsia="宋体" w:hAnsi="Arial" w:cs="Arial"/>
          <w:color w:val="212121"/>
          <w:kern w:val="0"/>
          <w:szCs w:val="21"/>
        </w:rPr>
        <w:t>16</w:t>
      </w:r>
      <w:r w:rsidRPr="0010574D">
        <w:rPr>
          <w:rFonts w:ascii="Arial" w:eastAsia="宋体" w:hAnsi="Arial" w:cs="Arial"/>
          <w:color w:val="212121"/>
          <w:kern w:val="0"/>
          <w:szCs w:val="21"/>
        </w:rPr>
        <w:t>种市场情形就是标的资产的市价</w:t>
      </w:r>
      <w:r w:rsidRPr="00FA13C4">
        <w:rPr>
          <w:rFonts w:ascii="Arial" w:eastAsia="宋体" w:hAnsi="Arial" w:cs="Arial"/>
          <w:color w:val="212121"/>
          <w:kern w:val="0"/>
          <w:szCs w:val="21"/>
          <w:highlight w:val="yellow"/>
        </w:rPr>
        <w:t>上涨</w:t>
      </w:r>
      <w:r w:rsidRPr="0010574D">
        <w:rPr>
          <w:rFonts w:ascii="Arial" w:eastAsia="宋体" w:hAnsi="Arial" w:cs="Arial"/>
          <w:color w:val="212121"/>
          <w:kern w:val="0"/>
          <w:szCs w:val="21"/>
        </w:rPr>
        <w:t>或者</w:t>
      </w:r>
      <w:r w:rsidRPr="00FA13C4">
        <w:rPr>
          <w:rFonts w:ascii="Arial" w:eastAsia="宋体" w:hAnsi="Arial" w:cs="Arial"/>
          <w:color w:val="212121"/>
          <w:kern w:val="0"/>
          <w:szCs w:val="21"/>
          <w:highlight w:val="yellow"/>
        </w:rPr>
        <w:t>下跌</w:t>
      </w:r>
      <w:r w:rsidRPr="0010574D">
        <w:rPr>
          <w:rFonts w:ascii="Arial" w:eastAsia="宋体" w:hAnsi="Arial" w:cs="Arial"/>
          <w:color w:val="212121"/>
          <w:kern w:val="0"/>
          <w:szCs w:val="21"/>
        </w:rPr>
        <w:t>价格扫描区间的</w:t>
      </w:r>
      <w:r w:rsidRPr="00FA13C4">
        <w:rPr>
          <w:rFonts w:ascii="Arial" w:eastAsia="宋体" w:hAnsi="Arial" w:cs="Arial"/>
          <w:color w:val="212121"/>
          <w:kern w:val="0"/>
          <w:szCs w:val="21"/>
          <w:highlight w:val="yellow"/>
        </w:rPr>
        <w:t>1/3</w:t>
      </w:r>
      <w:r w:rsidRPr="00FA13C4">
        <w:rPr>
          <w:rFonts w:ascii="Arial" w:eastAsia="宋体" w:hAnsi="Arial" w:cs="Arial"/>
          <w:color w:val="212121"/>
          <w:kern w:val="0"/>
          <w:szCs w:val="21"/>
          <w:highlight w:val="yellow"/>
        </w:rPr>
        <w:t>、</w:t>
      </w:r>
      <w:r w:rsidRPr="00FA13C4">
        <w:rPr>
          <w:rFonts w:ascii="Arial" w:eastAsia="宋体" w:hAnsi="Arial" w:cs="Arial"/>
          <w:color w:val="212121"/>
          <w:kern w:val="0"/>
          <w:szCs w:val="21"/>
          <w:highlight w:val="yellow"/>
        </w:rPr>
        <w:t>2/3</w:t>
      </w:r>
      <w:r w:rsidRPr="00FA13C4">
        <w:rPr>
          <w:rFonts w:ascii="Arial" w:eastAsia="宋体" w:hAnsi="Arial" w:cs="Arial"/>
          <w:color w:val="212121"/>
          <w:kern w:val="0"/>
          <w:szCs w:val="21"/>
          <w:highlight w:val="yellow"/>
        </w:rPr>
        <w:t>、</w:t>
      </w:r>
      <w:r w:rsidRPr="00FA13C4">
        <w:rPr>
          <w:rFonts w:ascii="Arial" w:eastAsia="宋体" w:hAnsi="Arial" w:cs="Arial"/>
          <w:color w:val="212121"/>
          <w:kern w:val="0"/>
          <w:szCs w:val="21"/>
          <w:highlight w:val="yellow"/>
        </w:rPr>
        <w:t>1</w:t>
      </w:r>
      <w:r w:rsidRPr="00FA13C4">
        <w:rPr>
          <w:rFonts w:ascii="Arial" w:eastAsia="宋体" w:hAnsi="Arial" w:cs="Arial"/>
          <w:color w:val="212121"/>
          <w:kern w:val="0"/>
          <w:szCs w:val="21"/>
          <w:highlight w:val="yellow"/>
        </w:rPr>
        <w:t>倍、</w:t>
      </w:r>
      <w:r w:rsidRPr="00FA13C4">
        <w:rPr>
          <w:rFonts w:ascii="Arial" w:eastAsia="宋体" w:hAnsi="Arial" w:cs="Arial"/>
          <w:color w:val="212121"/>
          <w:kern w:val="0"/>
          <w:szCs w:val="21"/>
          <w:highlight w:val="yellow"/>
        </w:rPr>
        <w:t>3</w:t>
      </w:r>
      <w:r w:rsidRPr="00FA13C4">
        <w:rPr>
          <w:rFonts w:ascii="Arial" w:eastAsia="宋体" w:hAnsi="Arial" w:cs="Arial"/>
          <w:color w:val="212121"/>
          <w:kern w:val="0"/>
          <w:szCs w:val="21"/>
          <w:highlight w:val="yellow"/>
        </w:rPr>
        <w:t>倍</w:t>
      </w:r>
      <w:r w:rsidRPr="0010574D">
        <w:rPr>
          <w:rFonts w:ascii="Arial" w:eastAsia="宋体" w:hAnsi="Arial" w:cs="Arial"/>
          <w:color w:val="212121"/>
          <w:kern w:val="0"/>
          <w:szCs w:val="21"/>
        </w:rPr>
        <w:t>的情形与标的资产价格</w:t>
      </w:r>
      <w:r w:rsidRPr="00FA13C4">
        <w:rPr>
          <w:rFonts w:ascii="Arial" w:eastAsia="宋体" w:hAnsi="Arial" w:cs="Arial"/>
          <w:color w:val="212121"/>
          <w:kern w:val="0"/>
          <w:szCs w:val="21"/>
          <w:highlight w:val="yellow"/>
        </w:rPr>
        <w:t>波动率变化情形</w:t>
      </w:r>
      <w:r w:rsidRPr="0010574D">
        <w:rPr>
          <w:rFonts w:ascii="Arial" w:eastAsia="宋体" w:hAnsi="Arial" w:cs="Arial"/>
          <w:color w:val="212121"/>
          <w:kern w:val="0"/>
          <w:szCs w:val="21"/>
        </w:rPr>
        <w:t>组合而得的。</w:t>
      </w:r>
    </w:p>
    <w:p w14:paraId="52FF50AC"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价格扫描区间原则上</w:t>
      </w:r>
      <w:r w:rsidRPr="00FA13C4">
        <w:rPr>
          <w:rFonts w:ascii="Arial" w:eastAsia="宋体" w:hAnsi="Arial" w:cs="Arial"/>
          <w:color w:val="212121"/>
          <w:kern w:val="0"/>
          <w:szCs w:val="21"/>
          <w:highlight w:val="yellow"/>
        </w:rPr>
        <w:t>每天计算一次</w:t>
      </w:r>
      <w:r w:rsidRPr="0010574D">
        <w:rPr>
          <w:rFonts w:ascii="Arial" w:eastAsia="宋体" w:hAnsi="Arial" w:cs="Arial"/>
          <w:color w:val="212121"/>
          <w:kern w:val="0"/>
          <w:szCs w:val="21"/>
        </w:rPr>
        <w:t>，但如果新的价格扫描区间在原有参数基础上未超过某一比例的变化时，则保持价格扫描区间参数不动。在某些特殊市场风险情形下，价格扫描区间参数可作相应的调整。值得注意的一点是，当市场具有每日价格涨跌停板限制时，对于触板数据需要进行修正</w:t>
      </w:r>
      <w:commentRangeStart w:id="10"/>
      <w:r w:rsidRPr="0010574D">
        <w:rPr>
          <w:rFonts w:ascii="Arial" w:eastAsia="宋体" w:hAnsi="Arial" w:cs="Arial"/>
          <w:color w:val="212121"/>
          <w:kern w:val="0"/>
          <w:szCs w:val="21"/>
        </w:rPr>
        <w:t>处理</w:t>
      </w:r>
      <w:commentRangeEnd w:id="10"/>
      <w:r w:rsidR="00FA13C4">
        <w:rPr>
          <w:rStyle w:val="aa"/>
        </w:rPr>
        <w:commentReference w:id="10"/>
      </w:r>
      <w:r w:rsidRPr="0010574D">
        <w:rPr>
          <w:rFonts w:ascii="Arial" w:eastAsia="宋体" w:hAnsi="Arial" w:cs="Arial"/>
          <w:color w:val="212121"/>
          <w:kern w:val="0"/>
          <w:szCs w:val="21"/>
        </w:rPr>
        <w:t>。</w:t>
      </w:r>
    </w:p>
    <w:p w14:paraId="27C6BBB7"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2</w:t>
      </w:r>
      <w:r w:rsidRPr="0010574D">
        <w:rPr>
          <w:rFonts w:ascii="Arial" w:eastAsia="宋体" w:hAnsi="Arial" w:cs="Arial"/>
          <w:color w:val="212121"/>
          <w:kern w:val="0"/>
          <w:szCs w:val="21"/>
        </w:rPr>
        <w:t>、</w:t>
      </w:r>
      <w:r w:rsidRPr="008F18AF">
        <w:rPr>
          <w:rFonts w:ascii="Arial" w:eastAsia="宋体" w:hAnsi="Arial" w:cs="Arial"/>
          <w:color w:val="212121"/>
          <w:kern w:val="0"/>
          <w:szCs w:val="21"/>
          <w:highlight w:val="yellow"/>
        </w:rPr>
        <w:t>波动率扫描区间</w:t>
      </w:r>
    </w:p>
    <w:p w14:paraId="0E1C1E2C"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lastRenderedPageBreak/>
        <w:t>波动率扫描区间参数用来</w:t>
      </w:r>
      <w:proofErr w:type="gramStart"/>
      <w:r w:rsidRPr="0010574D">
        <w:rPr>
          <w:rFonts w:ascii="Arial" w:eastAsia="宋体" w:hAnsi="Arial" w:cs="Arial"/>
          <w:color w:val="212121"/>
          <w:kern w:val="0"/>
          <w:szCs w:val="21"/>
        </w:rPr>
        <w:t>刻划</w:t>
      </w:r>
      <w:proofErr w:type="gramEnd"/>
      <w:r w:rsidRPr="0010574D">
        <w:rPr>
          <w:rFonts w:ascii="Arial" w:eastAsia="宋体" w:hAnsi="Arial" w:cs="Arial"/>
          <w:color w:val="212121"/>
          <w:kern w:val="0"/>
          <w:szCs w:val="21"/>
        </w:rPr>
        <w:t>在特定期间内及特定的置信区间下，某一具体标的资产价格的</w:t>
      </w:r>
      <w:r w:rsidRPr="008F18AF">
        <w:rPr>
          <w:rFonts w:ascii="Arial" w:eastAsia="宋体" w:hAnsi="Arial" w:cs="Arial"/>
          <w:color w:val="212121"/>
          <w:kern w:val="0"/>
          <w:szCs w:val="21"/>
          <w:highlight w:val="yellow"/>
        </w:rPr>
        <w:t>波动率的变化范围</w:t>
      </w:r>
      <w:r w:rsidRPr="0010574D">
        <w:rPr>
          <w:rFonts w:ascii="Arial" w:eastAsia="宋体" w:hAnsi="Arial" w:cs="Arial"/>
          <w:color w:val="212121"/>
          <w:kern w:val="0"/>
          <w:szCs w:val="21"/>
        </w:rPr>
        <w:t>。确定此参数的基础是确定</w:t>
      </w:r>
      <w:r w:rsidRPr="00981E5C">
        <w:rPr>
          <w:rFonts w:ascii="Arial" w:eastAsia="宋体" w:hAnsi="Arial" w:cs="Arial"/>
          <w:color w:val="212121"/>
          <w:kern w:val="0"/>
          <w:szCs w:val="21"/>
          <w:highlight w:val="yellow"/>
        </w:rPr>
        <w:t>标的资产价格波动率的分布曲线</w:t>
      </w:r>
      <w:r w:rsidRPr="0010574D">
        <w:rPr>
          <w:rFonts w:ascii="Arial" w:eastAsia="宋体" w:hAnsi="Arial" w:cs="Arial"/>
          <w:color w:val="212121"/>
          <w:kern w:val="0"/>
          <w:szCs w:val="21"/>
        </w:rPr>
        <w:t>。</w:t>
      </w:r>
    </w:p>
    <w:p w14:paraId="67BE246C"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这里的波动率一般是指</w:t>
      </w:r>
      <w:r w:rsidRPr="00981E5C">
        <w:rPr>
          <w:rFonts w:ascii="Arial" w:eastAsia="宋体" w:hAnsi="Arial" w:cs="Arial"/>
          <w:color w:val="212121"/>
          <w:kern w:val="0"/>
          <w:szCs w:val="21"/>
          <w:highlight w:val="yellow"/>
        </w:rPr>
        <w:t>由期权价格反演出的隐含波动率</w:t>
      </w:r>
      <w:r w:rsidRPr="0010574D">
        <w:rPr>
          <w:rFonts w:ascii="Arial" w:eastAsia="宋体" w:hAnsi="Arial" w:cs="Arial"/>
          <w:color w:val="212121"/>
          <w:kern w:val="0"/>
          <w:szCs w:val="21"/>
        </w:rPr>
        <w:t>，一般</w:t>
      </w:r>
      <w:r w:rsidRPr="001C0B98">
        <w:rPr>
          <w:rFonts w:ascii="Arial" w:eastAsia="宋体" w:hAnsi="Arial" w:cs="Arial"/>
          <w:color w:val="212121"/>
          <w:kern w:val="0"/>
          <w:szCs w:val="21"/>
          <w:highlight w:val="yellow"/>
        </w:rPr>
        <w:t>采用期权的结算价格作为数据样本来反演隐含波动率</w:t>
      </w:r>
      <w:r w:rsidRPr="0010574D">
        <w:rPr>
          <w:rFonts w:ascii="Arial" w:eastAsia="宋体" w:hAnsi="Arial" w:cs="Arial"/>
          <w:color w:val="212121"/>
          <w:kern w:val="0"/>
          <w:szCs w:val="21"/>
        </w:rPr>
        <w:t>。而期权的结算价格一般是采用</w:t>
      </w:r>
      <w:r w:rsidRPr="001C0B98">
        <w:rPr>
          <w:rFonts w:ascii="Arial" w:eastAsia="宋体" w:hAnsi="Arial" w:cs="Arial"/>
          <w:color w:val="212121"/>
          <w:kern w:val="0"/>
          <w:szCs w:val="21"/>
          <w:highlight w:val="yellow"/>
        </w:rPr>
        <w:t>期权市场实际数据</w:t>
      </w:r>
      <w:r w:rsidRPr="0010574D">
        <w:rPr>
          <w:rFonts w:ascii="Arial" w:eastAsia="宋体" w:hAnsi="Arial" w:cs="Arial"/>
          <w:color w:val="212121"/>
          <w:kern w:val="0"/>
          <w:szCs w:val="21"/>
        </w:rPr>
        <w:t>结合</w:t>
      </w:r>
      <w:r w:rsidRPr="001C0B98">
        <w:rPr>
          <w:rFonts w:ascii="Arial" w:eastAsia="宋体" w:hAnsi="Arial" w:cs="Arial"/>
          <w:color w:val="212121"/>
          <w:kern w:val="0"/>
          <w:szCs w:val="21"/>
          <w:highlight w:val="yellow"/>
        </w:rPr>
        <w:t>期权定价模型的理论价格</w:t>
      </w:r>
      <w:r w:rsidRPr="0010574D">
        <w:rPr>
          <w:rFonts w:ascii="Arial" w:eastAsia="宋体" w:hAnsi="Arial" w:cs="Arial"/>
          <w:color w:val="212121"/>
          <w:kern w:val="0"/>
          <w:szCs w:val="21"/>
        </w:rPr>
        <w:t>而确定的。</w:t>
      </w:r>
    </w:p>
    <w:p w14:paraId="0488240C"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由期权价格的历史数据，我们可以</w:t>
      </w:r>
      <w:r w:rsidRPr="001C0B98">
        <w:rPr>
          <w:rFonts w:ascii="Arial" w:eastAsia="宋体" w:hAnsi="Arial" w:cs="Arial"/>
          <w:color w:val="212121"/>
          <w:kern w:val="0"/>
          <w:szCs w:val="21"/>
          <w:highlight w:val="yellow"/>
        </w:rPr>
        <w:t>期权定价模型反演隐含波动率</w:t>
      </w:r>
      <w:r w:rsidRPr="0010574D">
        <w:rPr>
          <w:rFonts w:ascii="Arial" w:eastAsia="宋体" w:hAnsi="Arial" w:cs="Arial"/>
          <w:color w:val="212121"/>
          <w:kern w:val="0"/>
          <w:szCs w:val="21"/>
        </w:rPr>
        <w:t>，从而估计出</w:t>
      </w:r>
      <w:r w:rsidRPr="001C0B98">
        <w:rPr>
          <w:rFonts w:ascii="Arial" w:eastAsia="宋体" w:hAnsi="Arial" w:cs="Arial"/>
          <w:color w:val="212121"/>
          <w:kern w:val="0"/>
          <w:szCs w:val="21"/>
          <w:highlight w:val="yellow"/>
        </w:rPr>
        <w:t>标的资产价格波动率的分布曲线</w:t>
      </w:r>
      <w:r w:rsidRPr="0010574D">
        <w:rPr>
          <w:rFonts w:ascii="Arial" w:eastAsia="宋体" w:hAnsi="Arial" w:cs="Arial"/>
          <w:color w:val="212121"/>
          <w:kern w:val="0"/>
          <w:szCs w:val="21"/>
        </w:rPr>
        <w:t>，并在此基础上求出在特定的期间内以及特定的置信区间下的</w:t>
      </w:r>
      <w:r w:rsidRPr="0056794B">
        <w:rPr>
          <w:rFonts w:ascii="Arial" w:eastAsia="宋体" w:hAnsi="Arial" w:cs="Arial"/>
          <w:color w:val="212121"/>
          <w:kern w:val="0"/>
          <w:szCs w:val="21"/>
          <w:highlight w:val="yellow"/>
        </w:rPr>
        <w:t>波动率的变动范围</w:t>
      </w:r>
      <w:r w:rsidRPr="0010574D">
        <w:rPr>
          <w:rFonts w:ascii="Arial" w:eastAsia="宋体" w:hAnsi="Arial" w:cs="Arial"/>
          <w:color w:val="212121"/>
          <w:kern w:val="0"/>
          <w:szCs w:val="21"/>
        </w:rPr>
        <w:t>，也就是</w:t>
      </w:r>
      <w:r w:rsidRPr="0056794B">
        <w:rPr>
          <w:rFonts w:ascii="Arial" w:eastAsia="宋体" w:hAnsi="Arial" w:cs="Arial"/>
          <w:color w:val="212121"/>
          <w:kern w:val="0"/>
          <w:szCs w:val="21"/>
          <w:highlight w:val="yellow"/>
        </w:rPr>
        <w:t>波动率扫描区间参数</w:t>
      </w:r>
      <w:r w:rsidRPr="0010574D">
        <w:rPr>
          <w:rFonts w:ascii="Arial" w:eastAsia="宋体" w:hAnsi="Arial" w:cs="Arial"/>
          <w:color w:val="212121"/>
          <w:kern w:val="0"/>
          <w:szCs w:val="21"/>
        </w:rPr>
        <w:t>。</w:t>
      </w:r>
    </w:p>
    <w:p w14:paraId="75DB878B"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SPAN</w:t>
      </w:r>
      <w:r w:rsidRPr="0010574D">
        <w:rPr>
          <w:rFonts w:ascii="Arial" w:eastAsia="宋体" w:hAnsi="Arial" w:cs="Arial"/>
          <w:color w:val="212121"/>
          <w:kern w:val="0"/>
          <w:szCs w:val="21"/>
        </w:rPr>
        <w:t>系统一般模拟</w:t>
      </w:r>
      <w:r w:rsidRPr="0056794B">
        <w:rPr>
          <w:rFonts w:ascii="Arial" w:eastAsia="宋体" w:hAnsi="Arial" w:cs="Arial"/>
          <w:color w:val="212121"/>
          <w:kern w:val="0"/>
          <w:szCs w:val="21"/>
          <w:highlight w:val="yellow"/>
        </w:rPr>
        <w:t>16</w:t>
      </w:r>
      <w:r w:rsidRPr="0056794B">
        <w:rPr>
          <w:rFonts w:ascii="Arial" w:eastAsia="宋体" w:hAnsi="Arial" w:cs="Arial"/>
          <w:color w:val="212121"/>
          <w:kern w:val="0"/>
          <w:szCs w:val="21"/>
          <w:highlight w:val="yellow"/>
        </w:rPr>
        <w:t>种市场情形</w:t>
      </w:r>
      <w:r w:rsidRPr="0010574D">
        <w:rPr>
          <w:rFonts w:ascii="Arial" w:eastAsia="宋体" w:hAnsi="Arial" w:cs="Arial"/>
          <w:color w:val="212121"/>
          <w:kern w:val="0"/>
          <w:szCs w:val="21"/>
        </w:rPr>
        <w:t>，这些情形就是标的资产价格的</w:t>
      </w:r>
      <w:r w:rsidRPr="0056794B">
        <w:rPr>
          <w:rFonts w:ascii="Arial" w:eastAsia="宋体" w:hAnsi="Arial" w:cs="Arial"/>
          <w:color w:val="212121"/>
          <w:kern w:val="0"/>
          <w:szCs w:val="21"/>
          <w:highlight w:val="yellow"/>
        </w:rPr>
        <w:t>波动率上升或者下降</w:t>
      </w:r>
      <w:r w:rsidRPr="0010574D">
        <w:rPr>
          <w:rFonts w:ascii="Arial" w:eastAsia="宋体" w:hAnsi="Arial" w:cs="Arial"/>
          <w:color w:val="212121"/>
          <w:kern w:val="0"/>
          <w:szCs w:val="21"/>
        </w:rPr>
        <w:t>一个波动率扫描区间的情形与标的资产价格变化情形组合而得的。</w:t>
      </w:r>
    </w:p>
    <w:p w14:paraId="01EBDFA1"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波动率扫描区间原则上</w:t>
      </w:r>
      <w:r w:rsidRPr="0056794B">
        <w:rPr>
          <w:rFonts w:ascii="Arial" w:eastAsia="宋体" w:hAnsi="Arial" w:cs="Arial"/>
          <w:color w:val="212121"/>
          <w:kern w:val="0"/>
          <w:szCs w:val="21"/>
          <w:highlight w:val="yellow"/>
        </w:rPr>
        <w:t>每天计算一次</w:t>
      </w:r>
      <w:r w:rsidRPr="0010574D">
        <w:rPr>
          <w:rFonts w:ascii="Arial" w:eastAsia="宋体" w:hAnsi="Arial" w:cs="Arial"/>
          <w:color w:val="212121"/>
          <w:kern w:val="0"/>
          <w:szCs w:val="21"/>
        </w:rPr>
        <w:t>，但如果新的波动率扫描区间在原有参数基础上未超过某一比例的变化时，则保持波动率扫描区间参数不动。在某些特殊市场风险情形下，波动率扫描区间参数可作相应的</w:t>
      </w:r>
      <w:commentRangeStart w:id="11"/>
      <w:r w:rsidRPr="0010574D">
        <w:rPr>
          <w:rFonts w:ascii="Arial" w:eastAsia="宋体" w:hAnsi="Arial" w:cs="Arial"/>
          <w:color w:val="212121"/>
          <w:kern w:val="0"/>
          <w:szCs w:val="21"/>
        </w:rPr>
        <w:t>调整</w:t>
      </w:r>
      <w:commentRangeEnd w:id="11"/>
      <w:r w:rsidR="0056794B">
        <w:rPr>
          <w:rStyle w:val="aa"/>
        </w:rPr>
        <w:commentReference w:id="11"/>
      </w:r>
      <w:r w:rsidRPr="0010574D">
        <w:rPr>
          <w:rFonts w:ascii="Arial" w:eastAsia="宋体" w:hAnsi="Arial" w:cs="Arial"/>
          <w:color w:val="212121"/>
          <w:kern w:val="0"/>
          <w:szCs w:val="21"/>
        </w:rPr>
        <w:t>。</w:t>
      </w:r>
    </w:p>
    <w:p w14:paraId="50EEC7FA"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3</w:t>
      </w:r>
      <w:r w:rsidRPr="0010574D">
        <w:rPr>
          <w:rFonts w:ascii="Arial" w:eastAsia="宋体" w:hAnsi="Arial" w:cs="Arial"/>
          <w:color w:val="212121"/>
          <w:kern w:val="0"/>
          <w:szCs w:val="21"/>
        </w:rPr>
        <w:t>、</w:t>
      </w:r>
      <w:r w:rsidRPr="0056794B">
        <w:rPr>
          <w:rFonts w:ascii="Arial" w:eastAsia="宋体" w:hAnsi="Arial" w:cs="Arial"/>
          <w:color w:val="212121"/>
          <w:kern w:val="0"/>
          <w:szCs w:val="21"/>
          <w:highlight w:val="yellow"/>
        </w:rPr>
        <w:t>同商品跨月价差</w:t>
      </w:r>
    </w:p>
    <w:p w14:paraId="737AAD44"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同商品跨月价差参数主要用来</w:t>
      </w:r>
      <w:proofErr w:type="gramStart"/>
      <w:r w:rsidRPr="0010574D">
        <w:rPr>
          <w:rFonts w:ascii="Arial" w:eastAsia="宋体" w:hAnsi="Arial" w:cs="Arial"/>
          <w:color w:val="212121"/>
          <w:kern w:val="0"/>
          <w:szCs w:val="21"/>
        </w:rPr>
        <w:t>刻划</w:t>
      </w:r>
      <w:proofErr w:type="gramEnd"/>
      <w:r w:rsidRPr="0010574D">
        <w:rPr>
          <w:rFonts w:ascii="Arial" w:eastAsia="宋体" w:hAnsi="Arial" w:cs="Arial"/>
          <w:color w:val="212121"/>
          <w:kern w:val="0"/>
          <w:szCs w:val="21"/>
        </w:rPr>
        <w:t>在特定期间内以及特定的置信区间下，</w:t>
      </w:r>
      <w:r w:rsidRPr="00AC4B4C">
        <w:rPr>
          <w:rFonts w:ascii="Arial" w:eastAsia="宋体" w:hAnsi="Arial" w:cs="Arial"/>
          <w:color w:val="212121"/>
          <w:kern w:val="0"/>
          <w:szCs w:val="21"/>
          <w:highlight w:val="yellow"/>
        </w:rPr>
        <w:t>相同商品的不同到期合约价格之间的差异</w:t>
      </w:r>
      <w:r w:rsidRPr="0010574D">
        <w:rPr>
          <w:rFonts w:ascii="Arial" w:eastAsia="宋体" w:hAnsi="Arial" w:cs="Arial"/>
          <w:color w:val="212121"/>
          <w:kern w:val="0"/>
          <w:szCs w:val="21"/>
        </w:rPr>
        <w:t>，确定此参数的基础是对</w:t>
      </w:r>
      <w:r w:rsidRPr="00DE6778">
        <w:rPr>
          <w:rFonts w:ascii="Arial" w:eastAsia="宋体" w:hAnsi="Arial" w:cs="Arial"/>
          <w:color w:val="212121"/>
          <w:kern w:val="0"/>
          <w:szCs w:val="21"/>
          <w:highlight w:val="yellow"/>
        </w:rPr>
        <w:t>合约价差的分布曲线</w:t>
      </w:r>
      <w:r w:rsidRPr="0010574D">
        <w:rPr>
          <w:rFonts w:ascii="Arial" w:eastAsia="宋体" w:hAnsi="Arial" w:cs="Arial"/>
          <w:color w:val="212121"/>
          <w:kern w:val="0"/>
          <w:szCs w:val="21"/>
        </w:rPr>
        <w:t>的确定。</w:t>
      </w:r>
    </w:p>
    <w:p w14:paraId="44560CAE"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由于</w:t>
      </w:r>
      <w:r w:rsidRPr="008D5455">
        <w:rPr>
          <w:rFonts w:ascii="Arial" w:eastAsia="宋体" w:hAnsi="Arial" w:cs="Arial"/>
          <w:color w:val="212121"/>
          <w:kern w:val="0"/>
          <w:szCs w:val="21"/>
          <w:highlight w:val="yellow"/>
        </w:rPr>
        <w:t>期货合约与期权合约的价格行为一般都不呈正态分布</w:t>
      </w:r>
      <w:r w:rsidRPr="0010574D">
        <w:rPr>
          <w:rFonts w:ascii="Arial" w:eastAsia="宋体" w:hAnsi="Arial" w:cs="Arial"/>
          <w:color w:val="212121"/>
          <w:kern w:val="0"/>
          <w:szCs w:val="21"/>
        </w:rPr>
        <w:t>，我们没有理由认为不同到期合约的价差就会服从正态分布，因此需要考虑</w:t>
      </w:r>
      <w:r w:rsidRPr="008D5455">
        <w:rPr>
          <w:rFonts w:ascii="Arial" w:eastAsia="宋体" w:hAnsi="Arial" w:cs="Arial"/>
          <w:color w:val="212121"/>
          <w:kern w:val="0"/>
          <w:szCs w:val="21"/>
          <w:highlight w:val="yellow"/>
        </w:rPr>
        <w:t>非参数估计方法</w:t>
      </w:r>
      <w:r w:rsidRPr="0010574D">
        <w:rPr>
          <w:rFonts w:ascii="Arial" w:eastAsia="宋体" w:hAnsi="Arial" w:cs="Arial"/>
          <w:color w:val="212121"/>
          <w:kern w:val="0"/>
          <w:szCs w:val="21"/>
        </w:rPr>
        <w:t>。</w:t>
      </w:r>
    </w:p>
    <w:p w14:paraId="3431362B"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我们可以仍然采用</w:t>
      </w:r>
      <w:r w:rsidRPr="008D5455">
        <w:rPr>
          <w:rFonts w:ascii="Arial" w:eastAsia="宋体" w:hAnsi="Arial" w:cs="Arial"/>
          <w:color w:val="212121"/>
          <w:kern w:val="0"/>
          <w:szCs w:val="21"/>
          <w:highlight w:val="yellow"/>
        </w:rPr>
        <w:t>Rosenblatt</w:t>
      </w:r>
      <w:r w:rsidRPr="008D5455">
        <w:rPr>
          <w:rFonts w:ascii="Arial" w:eastAsia="宋体" w:hAnsi="Arial" w:cs="Arial"/>
          <w:color w:val="212121"/>
          <w:kern w:val="0"/>
          <w:szCs w:val="21"/>
          <w:highlight w:val="yellow"/>
        </w:rPr>
        <w:t>估计</w:t>
      </w:r>
      <w:r w:rsidRPr="0010574D">
        <w:rPr>
          <w:rFonts w:ascii="Arial" w:eastAsia="宋体" w:hAnsi="Arial" w:cs="Arial"/>
          <w:color w:val="212121"/>
          <w:kern w:val="0"/>
          <w:szCs w:val="21"/>
        </w:rPr>
        <w:t>或者</w:t>
      </w:r>
      <w:proofErr w:type="gramStart"/>
      <w:r w:rsidRPr="008D5455">
        <w:rPr>
          <w:rFonts w:ascii="Arial" w:eastAsia="宋体" w:hAnsi="Arial" w:cs="Arial"/>
          <w:color w:val="212121"/>
          <w:kern w:val="0"/>
          <w:szCs w:val="21"/>
          <w:highlight w:val="yellow"/>
        </w:rPr>
        <w:t>核估计</w:t>
      </w:r>
      <w:proofErr w:type="gramEnd"/>
      <w:r w:rsidRPr="0010574D">
        <w:rPr>
          <w:rFonts w:ascii="Arial" w:eastAsia="宋体" w:hAnsi="Arial" w:cs="Arial"/>
          <w:color w:val="212121"/>
          <w:kern w:val="0"/>
          <w:szCs w:val="21"/>
        </w:rPr>
        <w:t>来确定跨月价差的分布。其中，</w:t>
      </w:r>
      <w:r w:rsidRPr="008D5455">
        <w:rPr>
          <w:rFonts w:ascii="Arial" w:eastAsia="宋体" w:hAnsi="Arial" w:cs="Arial"/>
          <w:color w:val="212121"/>
          <w:kern w:val="0"/>
          <w:szCs w:val="21"/>
          <w:highlight w:val="yellow"/>
        </w:rPr>
        <w:t>最优窗宽</w:t>
      </w:r>
      <w:r w:rsidRPr="0010574D">
        <w:rPr>
          <w:rFonts w:ascii="Arial" w:eastAsia="宋体" w:hAnsi="Arial" w:cs="Arial"/>
          <w:color w:val="212121"/>
          <w:kern w:val="0"/>
          <w:szCs w:val="21"/>
        </w:rPr>
        <w:t>由</w:t>
      </w:r>
      <w:r w:rsidRPr="008D5455">
        <w:rPr>
          <w:rFonts w:ascii="Arial" w:eastAsia="宋体" w:hAnsi="Arial" w:cs="Arial"/>
          <w:color w:val="212121"/>
          <w:kern w:val="0"/>
          <w:szCs w:val="21"/>
          <w:highlight w:val="yellow"/>
        </w:rPr>
        <w:t>交叉核实法</w:t>
      </w:r>
      <w:r w:rsidRPr="0010574D">
        <w:rPr>
          <w:rFonts w:ascii="Arial" w:eastAsia="宋体" w:hAnsi="Arial" w:cs="Arial"/>
          <w:color w:val="212121"/>
          <w:kern w:val="0"/>
          <w:szCs w:val="21"/>
        </w:rPr>
        <w:t>来确定，而</w:t>
      </w:r>
      <w:proofErr w:type="gramStart"/>
      <w:r w:rsidRPr="0010574D">
        <w:rPr>
          <w:rFonts w:ascii="Arial" w:eastAsia="宋体" w:hAnsi="Arial" w:cs="Arial"/>
          <w:color w:val="212121"/>
          <w:kern w:val="0"/>
          <w:szCs w:val="21"/>
        </w:rPr>
        <w:t>核估计</w:t>
      </w:r>
      <w:proofErr w:type="gramEnd"/>
      <w:r w:rsidRPr="0010574D">
        <w:rPr>
          <w:rFonts w:ascii="Arial" w:eastAsia="宋体" w:hAnsi="Arial" w:cs="Arial"/>
          <w:color w:val="212121"/>
          <w:kern w:val="0"/>
          <w:szCs w:val="21"/>
        </w:rPr>
        <w:t>中的</w:t>
      </w:r>
      <w:r w:rsidRPr="008D5455">
        <w:rPr>
          <w:rFonts w:ascii="Arial" w:eastAsia="宋体" w:hAnsi="Arial" w:cs="Arial"/>
          <w:color w:val="212121"/>
          <w:kern w:val="0"/>
          <w:szCs w:val="21"/>
          <w:highlight w:val="yellow"/>
        </w:rPr>
        <w:t>核函数</w:t>
      </w:r>
      <w:r w:rsidRPr="0010574D">
        <w:rPr>
          <w:rFonts w:ascii="Arial" w:eastAsia="宋体" w:hAnsi="Arial" w:cs="Arial"/>
          <w:color w:val="212121"/>
          <w:kern w:val="0"/>
          <w:szCs w:val="21"/>
        </w:rPr>
        <w:t>一般采用</w:t>
      </w:r>
      <w:r w:rsidRPr="008D5455">
        <w:rPr>
          <w:rFonts w:ascii="Arial" w:eastAsia="宋体" w:hAnsi="Arial" w:cs="Arial"/>
          <w:color w:val="212121"/>
          <w:kern w:val="0"/>
          <w:szCs w:val="21"/>
          <w:highlight w:val="yellow"/>
        </w:rPr>
        <w:t>对称的密度函数</w:t>
      </w:r>
      <w:r w:rsidRPr="0010574D">
        <w:rPr>
          <w:rFonts w:ascii="Arial" w:eastAsia="宋体" w:hAnsi="Arial" w:cs="Arial"/>
          <w:color w:val="212121"/>
          <w:kern w:val="0"/>
          <w:szCs w:val="21"/>
        </w:rPr>
        <w:t>。</w:t>
      </w:r>
    </w:p>
    <w:p w14:paraId="5EF7E9FC"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在</w:t>
      </w:r>
      <w:proofErr w:type="gramStart"/>
      <w:r w:rsidRPr="0010574D">
        <w:rPr>
          <w:rFonts w:ascii="Arial" w:eastAsia="宋体" w:hAnsi="Arial" w:cs="Arial"/>
          <w:color w:val="212121"/>
          <w:kern w:val="0"/>
          <w:szCs w:val="21"/>
        </w:rPr>
        <w:t>跨月基差的</w:t>
      </w:r>
      <w:proofErr w:type="gramEnd"/>
      <w:r w:rsidRPr="0010574D">
        <w:rPr>
          <w:rFonts w:ascii="Arial" w:eastAsia="宋体" w:hAnsi="Arial" w:cs="Arial"/>
          <w:color w:val="212121"/>
          <w:kern w:val="0"/>
          <w:szCs w:val="21"/>
        </w:rPr>
        <w:t>分布曲线基础上，我们就可获得在特定期间内以及特定的置信区间下</w:t>
      </w:r>
      <w:r w:rsidRPr="008D5455">
        <w:rPr>
          <w:rFonts w:ascii="Arial" w:eastAsia="宋体" w:hAnsi="Arial" w:cs="Arial"/>
          <w:color w:val="212121"/>
          <w:kern w:val="0"/>
          <w:szCs w:val="21"/>
          <w:highlight w:val="yellow"/>
        </w:rPr>
        <w:t>不同合约价差的波动范围</w:t>
      </w:r>
      <w:r w:rsidRPr="0010574D">
        <w:rPr>
          <w:rFonts w:ascii="Arial" w:eastAsia="宋体" w:hAnsi="Arial" w:cs="Arial"/>
          <w:color w:val="212121"/>
          <w:kern w:val="0"/>
          <w:szCs w:val="21"/>
        </w:rPr>
        <w:t>，也就是</w:t>
      </w:r>
      <w:r w:rsidRPr="008D5455">
        <w:rPr>
          <w:rFonts w:ascii="Arial" w:eastAsia="宋体" w:hAnsi="Arial" w:cs="Arial"/>
          <w:color w:val="212121"/>
          <w:kern w:val="0"/>
          <w:szCs w:val="21"/>
          <w:highlight w:val="yellow"/>
        </w:rPr>
        <w:t>跨月价差参数</w:t>
      </w:r>
      <w:r w:rsidRPr="0010574D">
        <w:rPr>
          <w:rFonts w:ascii="Arial" w:eastAsia="宋体" w:hAnsi="Arial" w:cs="Arial"/>
          <w:color w:val="212121"/>
          <w:kern w:val="0"/>
          <w:szCs w:val="21"/>
        </w:rPr>
        <w:t>。</w:t>
      </w:r>
    </w:p>
    <w:p w14:paraId="67D844A2"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跨月价差原则上</w:t>
      </w:r>
      <w:r w:rsidRPr="008D5455">
        <w:rPr>
          <w:rFonts w:ascii="Arial" w:eastAsia="宋体" w:hAnsi="Arial" w:cs="Arial"/>
          <w:color w:val="212121"/>
          <w:kern w:val="0"/>
          <w:szCs w:val="21"/>
          <w:highlight w:val="yellow"/>
        </w:rPr>
        <w:t>每天计算一次</w:t>
      </w:r>
      <w:r w:rsidRPr="0010574D">
        <w:rPr>
          <w:rFonts w:ascii="Arial" w:eastAsia="宋体" w:hAnsi="Arial" w:cs="Arial"/>
          <w:color w:val="212121"/>
          <w:kern w:val="0"/>
          <w:szCs w:val="21"/>
        </w:rPr>
        <w:t>，但如果新的跨月价差在原有参数基础上未超过某一比例的变化时，则保持跨月价差参数不动。在某些特殊市场风险情形下，跨月价差参数可作相应的调整。</w:t>
      </w:r>
    </w:p>
    <w:p w14:paraId="6ECDDDC1"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4</w:t>
      </w:r>
      <w:r w:rsidRPr="0010574D">
        <w:rPr>
          <w:rFonts w:ascii="Arial" w:eastAsia="宋体" w:hAnsi="Arial" w:cs="Arial"/>
          <w:color w:val="212121"/>
          <w:kern w:val="0"/>
          <w:szCs w:val="21"/>
        </w:rPr>
        <w:t>、</w:t>
      </w:r>
      <w:r w:rsidRPr="008D5455">
        <w:rPr>
          <w:rFonts w:ascii="Arial" w:eastAsia="宋体" w:hAnsi="Arial" w:cs="Arial"/>
          <w:color w:val="212121"/>
          <w:kern w:val="0"/>
          <w:szCs w:val="21"/>
          <w:highlight w:val="yellow"/>
        </w:rPr>
        <w:t>期权空头最低保证金</w:t>
      </w:r>
    </w:p>
    <w:p w14:paraId="6AC12C52"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5C626D">
        <w:rPr>
          <w:rFonts w:ascii="Arial" w:eastAsia="宋体" w:hAnsi="Arial" w:cs="Arial"/>
          <w:color w:val="212121"/>
          <w:kern w:val="0"/>
          <w:szCs w:val="21"/>
          <w:highlight w:val="yellow"/>
        </w:rPr>
        <w:t>在标的资产价格发生较大波动的时候，接近平值位置的</w:t>
      </w:r>
      <w:proofErr w:type="gramStart"/>
      <w:r w:rsidRPr="005C626D">
        <w:rPr>
          <w:rFonts w:ascii="Arial" w:eastAsia="宋体" w:hAnsi="Arial" w:cs="Arial"/>
          <w:color w:val="212121"/>
          <w:kern w:val="0"/>
          <w:szCs w:val="21"/>
          <w:highlight w:val="yellow"/>
        </w:rPr>
        <w:t>虚值期权</w:t>
      </w:r>
      <w:proofErr w:type="gramEnd"/>
      <w:r w:rsidRPr="005C626D">
        <w:rPr>
          <w:rFonts w:ascii="Arial" w:eastAsia="宋体" w:hAnsi="Arial" w:cs="Arial"/>
          <w:color w:val="212121"/>
          <w:kern w:val="0"/>
          <w:szCs w:val="21"/>
          <w:highlight w:val="yellow"/>
        </w:rPr>
        <w:t>可能一跃成为实值期权，从而导致期权空头的巨大亏损。期权空头最低保证金主要就是用来防范期权空头的上述风险。</w:t>
      </w:r>
    </w:p>
    <w:p w14:paraId="0FCE45B2"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在相同的商品期货基础之上，不同的期货合约月份对应若干不同执行价格的期权合约。如果这些期权合约</w:t>
      </w:r>
      <w:r w:rsidRPr="00FA7119">
        <w:rPr>
          <w:rFonts w:ascii="Arial" w:eastAsia="宋体" w:hAnsi="Arial" w:cs="Arial"/>
          <w:color w:val="212121"/>
          <w:kern w:val="0"/>
          <w:szCs w:val="21"/>
          <w:highlight w:val="yellow"/>
        </w:rPr>
        <w:t>在前日结算时为</w:t>
      </w:r>
      <w:proofErr w:type="gramStart"/>
      <w:r w:rsidRPr="00FA7119">
        <w:rPr>
          <w:rFonts w:ascii="Arial" w:eastAsia="宋体" w:hAnsi="Arial" w:cs="Arial"/>
          <w:color w:val="212121"/>
          <w:kern w:val="0"/>
          <w:szCs w:val="21"/>
          <w:highlight w:val="yellow"/>
        </w:rPr>
        <w:t>虚值期权</w:t>
      </w:r>
      <w:proofErr w:type="gramEnd"/>
      <w:r w:rsidRPr="00FA7119">
        <w:rPr>
          <w:rFonts w:ascii="Arial" w:eastAsia="宋体" w:hAnsi="Arial" w:cs="Arial"/>
          <w:color w:val="212121"/>
          <w:kern w:val="0"/>
          <w:szCs w:val="21"/>
          <w:highlight w:val="yellow"/>
        </w:rPr>
        <w:t>而在当日结算变为实值期权</w:t>
      </w:r>
      <w:r w:rsidRPr="0010574D">
        <w:rPr>
          <w:rFonts w:ascii="Arial" w:eastAsia="宋体" w:hAnsi="Arial" w:cs="Arial"/>
          <w:color w:val="212121"/>
          <w:kern w:val="0"/>
          <w:szCs w:val="21"/>
        </w:rPr>
        <w:t>，则将这些期权结算价的</w:t>
      </w:r>
      <w:r w:rsidRPr="00FA7119">
        <w:rPr>
          <w:rFonts w:ascii="Arial" w:eastAsia="宋体" w:hAnsi="Arial" w:cs="Arial"/>
          <w:color w:val="212121"/>
          <w:kern w:val="0"/>
          <w:szCs w:val="21"/>
          <w:highlight w:val="yellow"/>
        </w:rPr>
        <w:t>价差中的最大值</w:t>
      </w:r>
      <w:r w:rsidRPr="0010574D">
        <w:rPr>
          <w:rFonts w:ascii="Arial" w:eastAsia="宋体" w:hAnsi="Arial" w:cs="Arial"/>
          <w:color w:val="212121"/>
          <w:kern w:val="0"/>
          <w:szCs w:val="21"/>
        </w:rPr>
        <w:t>作为该商品系列的</w:t>
      </w:r>
      <w:r w:rsidRPr="00FA7119">
        <w:rPr>
          <w:rFonts w:ascii="Arial" w:eastAsia="宋体" w:hAnsi="Arial" w:cs="Arial"/>
          <w:color w:val="212121"/>
          <w:kern w:val="0"/>
          <w:szCs w:val="21"/>
          <w:highlight w:val="yellow"/>
        </w:rPr>
        <w:t>当日期权空头最大损失</w:t>
      </w:r>
      <w:r w:rsidRPr="0010574D">
        <w:rPr>
          <w:rFonts w:ascii="Arial" w:eastAsia="宋体" w:hAnsi="Arial" w:cs="Arial"/>
          <w:color w:val="212121"/>
          <w:kern w:val="0"/>
          <w:szCs w:val="21"/>
        </w:rPr>
        <w:t>。对过去一段时间的当日期权空头最大损失进行数据采样（剔除零值），以</w:t>
      </w:r>
      <w:r w:rsidRPr="00FA7119">
        <w:rPr>
          <w:rFonts w:ascii="Arial" w:eastAsia="宋体" w:hAnsi="Arial" w:cs="Arial"/>
          <w:color w:val="212121"/>
          <w:kern w:val="0"/>
          <w:szCs w:val="21"/>
          <w:highlight w:val="yellow"/>
        </w:rPr>
        <w:t>Rosenblatt</w:t>
      </w:r>
      <w:r w:rsidRPr="00FA7119">
        <w:rPr>
          <w:rFonts w:ascii="Arial" w:eastAsia="宋体" w:hAnsi="Arial" w:cs="Arial"/>
          <w:color w:val="212121"/>
          <w:kern w:val="0"/>
          <w:szCs w:val="21"/>
          <w:highlight w:val="yellow"/>
        </w:rPr>
        <w:t>估计</w:t>
      </w:r>
      <w:r w:rsidRPr="0010574D">
        <w:rPr>
          <w:rFonts w:ascii="Arial" w:eastAsia="宋体" w:hAnsi="Arial" w:cs="Arial"/>
          <w:color w:val="212121"/>
          <w:kern w:val="0"/>
          <w:szCs w:val="21"/>
        </w:rPr>
        <w:t>方法或</w:t>
      </w:r>
      <w:proofErr w:type="gramStart"/>
      <w:r w:rsidRPr="00FA7119">
        <w:rPr>
          <w:rFonts w:ascii="Arial" w:eastAsia="宋体" w:hAnsi="Arial" w:cs="Arial"/>
          <w:color w:val="212121"/>
          <w:kern w:val="0"/>
          <w:szCs w:val="21"/>
          <w:highlight w:val="yellow"/>
        </w:rPr>
        <w:t>核估计</w:t>
      </w:r>
      <w:proofErr w:type="gramEnd"/>
      <w:r w:rsidRPr="0010574D">
        <w:rPr>
          <w:rFonts w:ascii="Arial" w:eastAsia="宋体" w:hAnsi="Arial" w:cs="Arial"/>
          <w:color w:val="212121"/>
          <w:kern w:val="0"/>
          <w:szCs w:val="21"/>
        </w:rPr>
        <w:t>的非参数方法来确定</w:t>
      </w:r>
      <w:r w:rsidRPr="00FA7119">
        <w:rPr>
          <w:rFonts w:ascii="Arial" w:eastAsia="宋体" w:hAnsi="Arial" w:cs="Arial"/>
          <w:color w:val="212121"/>
          <w:kern w:val="0"/>
          <w:szCs w:val="21"/>
          <w:highlight w:val="yellow"/>
        </w:rPr>
        <w:t>期权空头最大损失的分布</w:t>
      </w:r>
      <w:r w:rsidRPr="0010574D">
        <w:rPr>
          <w:rFonts w:ascii="Arial" w:eastAsia="宋体" w:hAnsi="Arial" w:cs="Arial"/>
          <w:color w:val="212121"/>
          <w:kern w:val="0"/>
          <w:szCs w:val="21"/>
        </w:rPr>
        <w:t>。</w:t>
      </w:r>
    </w:p>
    <w:p w14:paraId="77547376"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lastRenderedPageBreak/>
        <w:t>有了期权空头最大损失的分布之后，就可以很方便地获得在特定的置信区间下的期权空头发生的</w:t>
      </w:r>
      <w:r w:rsidRPr="0090274B">
        <w:rPr>
          <w:rFonts w:ascii="Arial" w:eastAsia="宋体" w:hAnsi="Arial" w:cs="Arial"/>
          <w:color w:val="212121"/>
          <w:kern w:val="0"/>
          <w:szCs w:val="21"/>
          <w:highlight w:val="yellow"/>
        </w:rPr>
        <w:t>最大损失的范围</w:t>
      </w:r>
      <w:r w:rsidRPr="0010574D">
        <w:rPr>
          <w:rFonts w:ascii="Arial" w:eastAsia="宋体" w:hAnsi="Arial" w:cs="Arial"/>
          <w:color w:val="212121"/>
          <w:kern w:val="0"/>
          <w:szCs w:val="21"/>
        </w:rPr>
        <w:t>。交易所在此结果的基础上，结合期权报价中的</w:t>
      </w:r>
      <w:r w:rsidRPr="0090274B">
        <w:rPr>
          <w:rFonts w:ascii="Arial" w:eastAsia="宋体" w:hAnsi="Arial" w:cs="Arial"/>
          <w:color w:val="212121"/>
          <w:kern w:val="0"/>
          <w:szCs w:val="21"/>
          <w:highlight w:val="yellow"/>
        </w:rPr>
        <w:t>买卖价差</w:t>
      </w:r>
      <w:r w:rsidRPr="0010574D">
        <w:rPr>
          <w:rFonts w:ascii="Arial" w:eastAsia="宋体" w:hAnsi="Arial" w:cs="Arial"/>
          <w:color w:val="212121"/>
          <w:kern w:val="0"/>
          <w:szCs w:val="21"/>
        </w:rPr>
        <w:t>来确定期权空头最低保证金。</w:t>
      </w:r>
    </w:p>
    <w:p w14:paraId="7DDE5FBD"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期权空头最低保证金原则上</w:t>
      </w:r>
      <w:r w:rsidRPr="0090274B">
        <w:rPr>
          <w:rFonts w:ascii="Arial" w:eastAsia="宋体" w:hAnsi="Arial" w:cs="Arial"/>
          <w:color w:val="212121"/>
          <w:kern w:val="0"/>
          <w:szCs w:val="21"/>
          <w:highlight w:val="yellow"/>
        </w:rPr>
        <w:t>每月计算一次</w:t>
      </w:r>
      <w:r w:rsidRPr="0010574D">
        <w:rPr>
          <w:rFonts w:ascii="Arial" w:eastAsia="宋体" w:hAnsi="Arial" w:cs="Arial"/>
          <w:color w:val="212121"/>
          <w:kern w:val="0"/>
          <w:szCs w:val="21"/>
        </w:rPr>
        <w:t>，但如果新的期权空头最低保证金在原有参数基础上未超过某一比例的变化时，则保持该参数不动。在特殊市场风险情形下，期权空头最低保证金可作相应的调整。</w:t>
      </w:r>
    </w:p>
    <w:p w14:paraId="570BC8D3"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5</w:t>
      </w:r>
      <w:r w:rsidRPr="0010574D">
        <w:rPr>
          <w:rFonts w:ascii="Arial" w:eastAsia="宋体" w:hAnsi="Arial" w:cs="Arial"/>
          <w:color w:val="212121"/>
          <w:kern w:val="0"/>
          <w:szCs w:val="21"/>
        </w:rPr>
        <w:t>、</w:t>
      </w:r>
      <w:r w:rsidRPr="0090274B">
        <w:rPr>
          <w:rFonts w:ascii="Arial" w:eastAsia="宋体" w:hAnsi="Arial" w:cs="Arial"/>
          <w:color w:val="212121"/>
          <w:kern w:val="0"/>
          <w:szCs w:val="21"/>
          <w:highlight w:val="yellow"/>
        </w:rPr>
        <w:t>交割月保证金</w:t>
      </w:r>
      <w:commentRangeStart w:id="12"/>
      <w:r w:rsidRPr="0090274B">
        <w:rPr>
          <w:rFonts w:ascii="Arial" w:eastAsia="宋体" w:hAnsi="Arial" w:cs="Arial"/>
          <w:color w:val="212121"/>
          <w:kern w:val="0"/>
          <w:szCs w:val="21"/>
          <w:highlight w:val="yellow"/>
        </w:rPr>
        <w:t>提高</w:t>
      </w:r>
      <w:commentRangeEnd w:id="12"/>
      <w:r w:rsidR="0047505F">
        <w:rPr>
          <w:rStyle w:val="aa"/>
        </w:rPr>
        <w:commentReference w:id="12"/>
      </w:r>
    </w:p>
    <w:p w14:paraId="7A242788"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交割月保证金提高参数主要是为了</w:t>
      </w:r>
      <w:r w:rsidRPr="0090274B">
        <w:rPr>
          <w:rFonts w:ascii="Arial" w:eastAsia="宋体" w:hAnsi="Arial" w:cs="Arial"/>
          <w:color w:val="212121"/>
          <w:kern w:val="0"/>
          <w:szCs w:val="21"/>
          <w:highlight w:val="yellow"/>
        </w:rPr>
        <w:t>防范交割风险</w:t>
      </w:r>
      <w:r w:rsidRPr="0010574D">
        <w:rPr>
          <w:rFonts w:ascii="Arial" w:eastAsia="宋体" w:hAnsi="Arial" w:cs="Arial"/>
          <w:color w:val="212121"/>
          <w:kern w:val="0"/>
          <w:szCs w:val="21"/>
        </w:rPr>
        <w:t>，对交割月的定义可以从交割月扩展到交割前若干月。</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系统中交割月保证金提高参数又分为</w:t>
      </w:r>
      <w:r w:rsidRPr="0090274B">
        <w:rPr>
          <w:rFonts w:ascii="Arial" w:eastAsia="宋体" w:hAnsi="Arial" w:cs="Arial"/>
          <w:color w:val="212121"/>
          <w:kern w:val="0"/>
          <w:szCs w:val="21"/>
          <w:highlight w:val="yellow"/>
        </w:rPr>
        <w:t>有抵扣合约交割月保证金提高</w:t>
      </w:r>
      <w:r w:rsidRPr="0010574D">
        <w:rPr>
          <w:rFonts w:ascii="Arial" w:eastAsia="宋体" w:hAnsi="Arial" w:cs="Arial"/>
          <w:color w:val="212121"/>
          <w:kern w:val="0"/>
          <w:szCs w:val="21"/>
        </w:rPr>
        <w:t>与</w:t>
      </w:r>
      <w:r w:rsidRPr="0090274B">
        <w:rPr>
          <w:rFonts w:ascii="Arial" w:eastAsia="宋体" w:hAnsi="Arial" w:cs="Arial"/>
          <w:color w:val="212121"/>
          <w:kern w:val="0"/>
          <w:szCs w:val="21"/>
          <w:highlight w:val="yellow"/>
        </w:rPr>
        <w:t>无抵扣合约交割月保证金提高</w:t>
      </w:r>
      <w:r w:rsidRPr="0010574D">
        <w:rPr>
          <w:rFonts w:ascii="Arial" w:eastAsia="宋体" w:hAnsi="Arial" w:cs="Arial"/>
          <w:color w:val="212121"/>
          <w:kern w:val="0"/>
          <w:szCs w:val="21"/>
        </w:rPr>
        <w:t>两类参数。</w:t>
      </w:r>
      <w:r w:rsidRPr="0090274B">
        <w:rPr>
          <w:rFonts w:ascii="Arial" w:eastAsia="宋体" w:hAnsi="Arial" w:cs="Arial"/>
          <w:color w:val="212121"/>
          <w:kern w:val="0"/>
          <w:szCs w:val="21"/>
          <w:highlight w:val="yellow"/>
        </w:rPr>
        <w:t>有抵扣合约交割月保证金提高用于那些具有方向相反的邻近合约与之抵扣的交割月合约，无抵扣合约交割月保证金提高用于那些无邻近合约与之抵扣的交割月合约或者抵扣之后的交割月头寸净额。</w:t>
      </w:r>
    </w:p>
    <w:p w14:paraId="580D874A"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交割月</w:t>
      </w:r>
      <w:commentRangeStart w:id="13"/>
      <w:r w:rsidRPr="0010574D">
        <w:rPr>
          <w:rFonts w:ascii="Arial" w:eastAsia="宋体" w:hAnsi="Arial" w:cs="Arial"/>
          <w:color w:val="212121"/>
          <w:kern w:val="0"/>
          <w:szCs w:val="21"/>
        </w:rPr>
        <w:t>保证金</w:t>
      </w:r>
      <w:commentRangeEnd w:id="13"/>
      <w:r w:rsidR="0090274B">
        <w:rPr>
          <w:rStyle w:val="aa"/>
        </w:rPr>
        <w:commentReference w:id="13"/>
      </w:r>
      <w:r w:rsidRPr="0010574D">
        <w:rPr>
          <w:rFonts w:ascii="Arial" w:eastAsia="宋体" w:hAnsi="Arial" w:cs="Arial"/>
          <w:color w:val="212121"/>
          <w:kern w:val="0"/>
          <w:szCs w:val="21"/>
        </w:rPr>
        <w:t>提高的确定主要取决于标的资产与衍生品合约之间</w:t>
      </w:r>
      <w:proofErr w:type="gramStart"/>
      <w:r w:rsidRPr="0010574D">
        <w:rPr>
          <w:rFonts w:ascii="Arial" w:eastAsia="宋体" w:hAnsi="Arial" w:cs="Arial"/>
          <w:color w:val="212121"/>
          <w:kern w:val="0"/>
          <w:szCs w:val="21"/>
        </w:rPr>
        <w:t>的</w:t>
      </w:r>
      <w:r w:rsidRPr="0090274B">
        <w:rPr>
          <w:rFonts w:ascii="Arial" w:eastAsia="宋体" w:hAnsi="Arial" w:cs="Arial"/>
          <w:color w:val="212121"/>
          <w:kern w:val="0"/>
          <w:szCs w:val="21"/>
          <w:highlight w:val="yellow"/>
        </w:rPr>
        <w:t>基差</w:t>
      </w:r>
      <w:r w:rsidRPr="0010574D">
        <w:rPr>
          <w:rFonts w:ascii="Arial" w:eastAsia="宋体" w:hAnsi="Arial" w:cs="Arial"/>
          <w:color w:val="212121"/>
          <w:kern w:val="0"/>
          <w:szCs w:val="21"/>
        </w:rPr>
        <w:t>以及</w:t>
      </w:r>
      <w:proofErr w:type="gramEnd"/>
      <w:r w:rsidRPr="0090274B">
        <w:rPr>
          <w:rFonts w:ascii="Arial" w:eastAsia="宋体" w:hAnsi="Arial" w:cs="Arial"/>
          <w:color w:val="212121"/>
          <w:kern w:val="0"/>
          <w:szCs w:val="21"/>
          <w:highlight w:val="yellow"/>
        </w:rPr>
        <w:t>衍生品合约的价格在交割月的分布曲线</w:t>
      </w:r>
      <w:r w:rsidRPr="0010574D">
        <w:rPr>
          <w:rFonts w:ascii="Arial" w:eastAsia="宋体" w:hAnsi="Arial" w:cs="Arial"/>
          <w:color w:val="212121"/>
          <w:kern w:val="0"/>
          <w:szCs w:val="21"/>
        </w:rPr>
        <w:t>。</w:t>
      </w:r>
      <w:r w:rsidRPr="0090274B">
        <w:rPr>
          <w:rFonts w:ascii="Arial" w:eastAsia="宋体" w:hAnsi="Arial" w:cs="Arial"/>
          <w:color w:val="212121"/>
          <w:kern w:val="0"/>
          <w:szCs w:val="21"/>
          <w:highlight w:val="yellow"/>
        </w:rPr>
        <w:t>期货</w:t>
      </w:r>
      <w:r w:rsidRPr="0010574D">
        <w:rPr>
          <w:rFonts w:ascii="Arial" w:eastAsia="宋体" w:hAnsi="Arial" w:cs="Arial"/>
          <w:color w:val="212121"/>
          <w:kern w:val="0"/>
          <w:szCs w:val="21"/>
        </w:rPr>
        <w:t>交割月保证金主要取决于</w:t>
      </w:r>
      <w:r w:rsidRPr="0090274B">
        <w:rPr>
          <w:rFonts w:ascii="Arial" w:eastAsia="宋体" w:hAnsi="Arial" w:cs="Arial"/>
          <w:color w:val="212121"/>
          <w:kern w:val="0"/>
          <w:szCs w:val="21"/>
          <w:highlight w:val="yellow"/>
        </w:rPr>
        <w:t>现货与期货之间</w:t>
      </w:r>
      <w:proofErr w:type="gramStart"/>
      <w:r w:rsidRPr="0090274B">
        <w:rPr>
          <w:rFonts w:ascii="Arial" w:eastAsia="宋体" w:hAnsi="Arial" w:cs="Arial"/>
          <w:color w:val="212121"/>
          <w:kern w:val="0"/>
          <w:szCs w:val="21"/>
          <w:highlight w:val="yellow"/>
        </w:rPr>
        <w:t>的基差</w:t>
      </w:r>
      <w:r w:rsidRPr="0010574D">
        <w:rPr>
          <w:rFonts w:ascii="Arial" w:eastAsia="宋体" w:hAnsi="Arial" w:cs="Arial"/>
          <w:color w:val="212121"/>
          <w:kern w:val="0"/>
          <w:szCs w:val="21"/>
        </w:rPr>
        <w:t>以及</w:t>
      </w:r>
      <w:proofErr w:type="gramEnd"/>
      <w:r w:rsidRPr="0090274B">
        <w:rPr>
          <w:rFonts w:ascii="Arial" w:eastAsia="宋体" w:hAnsi="Arial" w:cs="Arial"/>
          <w:color w:val="212121"/>
          <w:kern w:val="0"/>
          <w:szCs w:val="21"/>
          <w:highlight w:val="yellow"/>
        </w:rPr>
        <w:t>期货合约价格在交割月的分布</w:t>
      </w:r>
      <w:r w:rsidRPr="0010574D">
        <w:rPr>
          <w:rFonts w:ascii="Arial" w:eastAsia="宋体" w:hAnsi="Arial" w:cs="Arial"/>
          <w:color w:val="212121"/>
          <w:kern w:val="0"/>
          <w:szCs w:val="21"/>
        </w:rPr>
        <w:t>；</w:t>
      </w:r>
      <w:r w:rsidRPr="0090274B">
        <w:rPr>
          <w:rFonts w:ascii="Arial" w:eastAsia="宋体" w:hAnsi="Arial" w:cs="Arial"/>
          <w:color w:val="212121"/>
          <w:kern w:val="0"/>
          <w:szCs w:val="21"/>
          <w:highlight w:val="yellow"/>
        </w:rPr>
        <w:t>期权</w:t>
      </w:r>
      <w:r w:rsidRPr="0010574D">
        <w:rPr>
          <w:rFonts w:ascii="Arial" w:eastAsia="宋体" w:hAnsi="Arial" w:cs="Arial"/>
          <w:color w:val="212121"/>
          <w:kern w:val="0"/>
          <w:szCs w:val="21"/>
        </w:rPr>
        <w:t>交割月保证金主要取决于</w:t>
      </w:r>
      <w:r w:rsidRPr="0090274B">
        <w:rPr>
          <w:rFonts w:ascii="Arial" w:eastAsia="宋体" w:hAnsi="Arial" w:cs="Arial"/>
          <w:color w:val="212121"/>
          <w:kern w:val="0"/>
          <w:szCs w:val="21"/>
          <w:highlight w:val="yellow"/>
        </w:rPr>
        <w:t>期权价格在到期月的分布曲线</w:t>
      </w:r>
      <w:r w:rsidRPr="0010574D">
        <w:rPr>
          <w:rFonts w:ascii="Arial" w:eastAsia="宋体" w:hAnsi="Arial" w:cs="Arial"/>
          <w:color w:val="212121"/>
          <w:kern w:val="0"/>
          <w:szCs w:val="21"/>
        </w:rPr>
        <w:t>。</w:t>
      </w:r>
    </w:p>
    <w:p w14:paraId="1A0BF787"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交易所在</w:t>
      </w:r>
      <w:r w:rsidRPr="0090274B">
        <w:rPr>
          <w:rFonts w:ascii="Arial" w:eastAsia="宋体" w:hAnsi="Arial" w:cs="Arial"/>
          <w:color w:val="212121"/>
          <w:kern w:val="0"/>
          <w:szCs w:val="21"/>
          <w:highlight w:val="yellow"/>
        </w:rPr>
        <w:t>基</w:t>
      </w:r>
      <w:proofErr w:type="gramStart"/>
      <w:r w:rsidRPr="0090274B">
        <w:rPr>
          <w:rFonts w:ascii="Arial" w:eastAsia="宋体" w:hAnsi="Arial" w:cs="Arial"/>
          <w:color w:val="212121"/>
          <w:kern w:val="0"/>
          <w:szCs w:val="21"/>
          <w:highlight w:val="yellow"/>
        </w:rPr>
        <w:t>差分布</w:t>
      </w:r>
      <w:proofErr w:type="gramEnd"/>
      <w:r w:rsidRPr="0090274B">
        <w:rPr>
          <w:rFonts w:ascii="Arial" w:eastAsia="宋体" w:hAnsi="Arial" w:cs="Arial"/>
          <w:color w:val="212121"/>
          <w:kern w:val="0"/>
          <w:szCs w:val="21"/>
          <w:highlight w:val="yellow"/>
        </w:rPr>
        <w:t>曲线</w:t>
      </w:r>
      <w:r w:rsidRPr="0010574D">
        <w:rPr>
          <w:rFonts w:ascii="Arial" w:eastAsia="宋体" w:hAnsi="Arial" w:cs="Arial"/>
          <w:color w:val="212121"/>
          <w:kern w:val="0"/>
          <w:szCs w:val="21"/>
        </w:rPr>
        <w:t>与</w:t>
      </w:r>
      <w:r w:rsidRPr="0090274B">
        <w:rPr>
          <w:rFonts w:ascii="Arial" w:eastAsia="宋体" w:hAnsi="Arial" w:cs="Arial"/>
          <w:color w:val="212121"/>
          <w:kern w:val="0"/>
          <w:szCs w:val="21"/>
          <w:highlight w:val="yellow"/>
        </w:rPr>
        <w:t>交割</w:t>
      </w:r>
      <w:proofErr w:type="gramStart"/>
      <w:r w:rsidRPr="0090274B">
        <w:rPr>
          <w:rFonts w:ascii="Arial" w:eastAsia="宋体" w:hAnsi="Arial" w:cs="Arial"/>
          <w:color w:val="212121"/>
          <w:kern w:val="0"/>
          <w:szCs w:val="21"/>
          <w:highlight w:val="yellow"/>
        </w:rPr>
        <w:t>月价格</w:t>
      </w:r>
      <w:proofErr w:type="gramEnd"/>
      <w:r w:rsidRPr="0090274B">
        <w:rPr>
          <w:rFonts w:ascii="Arial" w:eastAsia="宋体" w:hAnsi="Arial" w:cs="Arial"/>
          <w:color w:val="212121"/>
          <w:kern w:val="0"/>
          <w:szCs w:val="21"/>
          <w:highlight w:val="yellow"/>
        </w:rPr>
        <w:t>波动分布曲线</w:t>
      </w:r>
      <w:r w:rsidRPr="0010574D">
        <w:rPr>
          <w:rFonts w:ascii="Arial" w:eastAsia="宋体" w:hAnsi="Arial" w:cs="Arial"/>
          <w:color w:val="212121"/>
          <w:kern w:val="0"/>
          <w:szCs w:val="21"/>
        </w:rPr>
        <w:t>的基础上，参考</w:t>
      </w:r>
      <w:r w:rsidRPr="0090274B">
        <w:rPr>
          <w:rFonts w:ascii="Arial" w:eastAsia="宋体" w:hAnsi="Arial" w:cs="Arial"/>
          <w:color w:val="212121"/>
          <w:kern w:val="0"/>
          <w:szCs w:val="21"/>
          <w:highlight w:val="yellow"/>
        </w:rPr>
        <w:t>价格扫描区间参数</w:t>
      </w:r>
      <w:r w:rsidRPr="0010574D">
        <w:rPr>
          <w:rFonts w:ascii="Arial" w:eastAsia="宋体" w:hAnsi="Arial" w:cs="Arial"/>
          <w:color w:val="212121"/>
          <w:kern w:val="0"/>
          <w:szCs w:val="21"/>
        </w:rPr>
        <w:t>，最后确定无抵扣合约的交割月保证金提高，并以一个小于</w:t>
      </w:r>
      <w:r w:rsidRPr="0010574D">
        <w:rPr>
          <w:rFonts w:ascii="Arial" w:eastAsia="宋体" w:hAnsi="Arial" w:cs="Arial"/>
          <w:color w:val="212121"/>
          <w:kern w:val="0"/>
          <w:szCs w:val="21"/>
        </w:rPr>
        <w:t>1</w:t>
      </w:r>
      <w:r w:rsidRPr="0010574D">
        <w:rPr>
          <w:rFonts w:ascii="Arial" w:eastAsia="宋体" w:hAnsi="Arial" w:cs="Arial"/>
          <w:color w:val="212121"/>
          <w:kern w:val="0"/>
          <w:szCs w:val="21"/>
        </w:rPr>
        <w:t>的比例再确定有抵扣合约的交割月保证金提高。</w:t>
      </w:r>
    </w:p>
    <w:p w14:paraId="5823C11F"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由于期货合约在交割月的价格行为与期权合约在到期月的价格行为一般都</w:t>
      </w:r>
      <w:r w:rsidRPr="0090274B">
        <w:rPr>
          <w:rFonts w:ascii="Arial" w:eastAsia="宋体" w:hAnsi="Arial" w:cs="Arial"/>
          <w:color w:val="212121"/>
          <w:kern w:val="0"/>
          <w:szCs w:val="21"/>
          <w:highlight w:val="yellow"/>
        </w:rPr>
        <w:t>不呈现为正态分布</w:t>
      </w:r>
      <w:r w:rsidRPr="0010574D">
        <w:rPr>
          <w:rFonts w:ascii="Arial" w:eastAsia="宋体" w:hAnsi="Arial" w:cs="Arial"/>
          <w:color w:val="212121"/>
          <w:kern w:val="0"/>
          <w:szCs w:val="21"/>
        </w:rPr>
        <w:t>，我们考虑以非参数估计方法估计其价格分布。</w:t>
      </w:r>
    </w:p>
    <w:p w14:paraId="6EB49C40"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同样，因为期货合约与现货合约的价格行为一般也不呈现为正态分布，我们没有理由认为期货与现货之间</w:t>
      </w:r>
      <w:proofErr w:type="gramStart"/>
      <w:r w:rsidRPr="0010574D">
        <w:rPr>
          <w:rFonts w:ascii="Arial" w:eastAsia="宋体" w:hAnsi="Arial" w:cs="Arial"/>
          <w:color w:val="212121"/>
          <w:kern w:val="0"/>
          <w:szCs w:val="21"/>
        </w:rPr>
        <w:t>的基差会</w:t>
      </w:r>
      <w:proofErr w:type="gramEnd"/>
      <w:r w:rsidRPr="0010574D">
        <w:rPr>
          <w:rFonts w:ascii="Arial" w:eastAsia="宋体" w:hAnsi="Arial" w:cs="Arial"/>
          <w:color w:val="212121"/>
          <w:kern w:val="0"/>
          <w:szCs w:val="21"/>
        </w:rPr>
        <w:t>服从正态分布，因此也应该考虑非参数估计方法来估计基</w:t>
      </w:r>
      <w:proofErr w:type="gramStart"/>
      <w:r w:rsidRPr="0010574D">
        <w:rPr>
          <w:rFonts w:ascii="Arial" w:eastAsia="宋体" w:hAnsi="Arial" w:cs="Arial"/>
          <w:color w:val="212121"/>
          <w:kern w:val="0"/>
          <w:szCs w:val="21"/>
        </w:rPr>
        <w:t>差分布</w:t>
      </w:r>
      <w:proofErr w:type="gramEnd"/>
      <w:r w:rsidRPr="0010574D">
        <w:rPr>
          <w:rFonts w:ascii="Arial" w:eastAsia="宋体" w:hAnsi="Arial" w:cs="Arial"/>
          <w:color w:val="212121"/>
          <w:kern w:val="0"/>
          <w:szCs w:val="21"/>
        </w:rPr>
        <w:t>曲线。</w:t>
      </w:r>
    </w:p>
    <w:p w14:paraId="21DB22DC"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诸如</w:t>
      </w:r>
      <w:r w:rsidRPr="0090274B">
        <w:rPr>
          <w:rFonts w:ascii="Arial" w:eastAsia="宋体" w:hAnsi="Arial" w:cs="Arial"/>
          <w:color w:val="212121"/>
          <w:kern w:val="0"/>
          <w:szCs w:val="21"/>
          <w:highlight w:val="yellow"/>
        </w:rPr>
        <w:t>Rosenblatt</w:t>
      </w:r>
      <w:r w:rsidRPr="0090274B">
        <w:rPr>
          <w:rFonts w:ascii="Arial" w:eastAsia="宋体" w:hAnsi="Arial" w:cs="Arial"/>
          <w:color w:val="212121"/>
          <w:kern w:val="0"/>
          <w:szCs w:val="21"/>
          <w:highlight w:val="yellow"/>
        </w:rPr>
        <w:t>估计、</w:t>
      </w:r>
      <w:proofErr w:type="gramStart"/>
      <w:r w:rsidRPr="0090274B">
        <w:rPr>
          <w:rFonts w:ascii="Arial" w:eastAsia="宋体" w:hAnsi="Arial" w:cs="Arial"/>
          <w:color w:val="212121"/>
          <w:kern w:val="0"/>
          <w:szCs w:val="21"/>
          <w:highlight w:val="yellow"/>
        </w:rPr>
        <w:t>核估计</w:t>
      </w:r>
      <w:r w:rsidRPr="0010574D">
        <w:rPr>
          <w:rFonts w:ascii="Arial" w:eastAsia="宋体" w:hAnsi="Arial" w:cs="Arial"/>
          <w:color w:val="212121"/>
          <w:kern w:val="0"/>
          <w:szCs w:val="21"/>
        </w:rPr>
        <w:t>等</w:t>
      </w:r>
      <w:proofErr w:type="gramEnd"/>
      <w:r w:rsidRPr="0010574D">
        <w:rPr>
          <w:rFonts w:ascii="Arial" w:eastAsia="宋体" w:hAnsi="Arial" w:cs="Arial"/>
          <w:color w:val="212121"/>
          <w:kern w:val="0"/>
          <w:szCs w:val="21"/>
        </w:rPr>
        <w:t>非参数估计方法中，</w:t>
      </w:r>
      <w:r w:rsidRPr="0090274B">
        <w:rPr>
          <w:rFonts w:ascii="Arial" w:eastAsia="宋体" w:hAnsi="Arial" w:cs="Arial"/>
          <w:color w:val="212121"/>
          <w:kern w:val="0"/>
          <w:szCs w:val="21"/>
          <w:highlight w:val="yellow"/>
        </w:rPr>
        <w:t>核函数的选取与窗宽的确定</w:t>
      </w:r>
      <w:r w:rsidRPr="0010574D">
        <w:rPr>
          <w:rFonts w:ascii="Arial" w:eastAsia="宋体" w:hAnsi="Arial" w:cs="Arial"/>
          <w:color w:val="212121"/>
          <w:kern w:val="0"/>
          <w:szCs w:val="21"/>
        </w:rPr>
        <w:t>对分布曲线的拟合非常关键，但是在实际应用中，这些因素的确定往往</w:t>
      </w:r>
      <w:r w:rsidRPr="0090274B">
        <w:rPr>
          <w:rFonts w:ascii="Arial" w:eastAsia="宋体" w:hAnsi="Arial" w:cs="Arial"/>
          <w:color w:val="212121"/>
          <w:kern w:val="0"/>
          <w:szCs w:val="21"/>
          <w:highlight w:val="yellow"/>
        </w:rPr>
        <w:t>非常困难且非常繁琐</w:t>
      </w:r>
      <w:r w:rsidRPr="0010574D">
        <w:rPr>
          <w:rFonts w:ascii="Arial" w:eastAsia="宋体" w:hAnsi="Arial" w:cs="Arial"/>
          <w:color w:val="212121"/>
          <w:kern w:val="0"/>
          <w:szCs w:val="21"/>
        </w:rPr>
        <w:t>。而期货交割月保证金提高的最终确定需要</w:t>
      </w:r>
      <w:r w:rsidRPr="0090274B">
        <w:rPr>
          <w:rFonts w:ascii="Arial" w:eastAsia="宋体" w:hAnsi="Arial" w:cs="Arial"/>
          <w:color w:val="212121"/>
          <w:kern w:val="0"/>
          <w:szCs w:val="21"/>
          <w:highlight w:val="yellow"/>
        </w:rPr>
        <w:t>基差分布、交割</w:t>
      </w:r>
      <w:proofErr w:type="gramStart"/>
      <w:r w:rsidRPr="0090274B">
        <w:rPr>
          <w:rFonts w:ascii="Arial" w:eastAsia="宋体" w:hAnsi="Arial" w:cs="Arial"/>
          <w:color w:val="212121"/>
          <w:kern w:val="0"/>
          <w:szCs w:val="21"/>
          <w:highlight w:val="yellow"/>
        </w:rPr>
        <w:t>月价格</w:t>
      </w:r>
      <w:proofErr w:type="gramEnd"/>
      <w:r w:rsidRPr="0090274B">
        <w:rPr>
          <w:rFonts w:ascii="Arial" w:eastAsia="宋体" w:hAnsi="Arial" w:cs="Arial"/>
          <w:color w:val="212121"/>
          <w:kern w:val="0"/>
          <w:szCs w:val="21"/>
          <w:highlight w:val="yellow"/>
        </w:rPr>
        <w:t>分布</w:t>
      </w:r>
      <w:r w:rsidRPr="0010574D">
        <w:rPr>
          <w:rFonts w:ascii="Arial" w:eastAsia="宋体" w:hAnsi="Arial" w:cs="Arial"/>
          <w:color w:val="212121"/>
          <w:kern w:val="0"/>
          <w:szCs w:val="21"/>
        </w:rPr>
        <w:t>以及</w:t>
      </w:r>
      <w:r w:rsidRPr="0090274B">
        <w:rPr>
          <w:rFonts w:ascii="Arial" w:eastAsia="宋体" w:hAnsi="Arial" w:cs="Arial"/>
          <w:color w:val="212121"/>
          <w:kern w:val="0"/>
          <w:szCs w:val="21"/>
          <w:highlight w:val="yellow"/>
        </w:rPr>
        <w:t>价格扫描区间参数</w:t>
      </w:r>
      <w:r w:rsidRPr="0010574D">
        <w:rPr>
          <w:rFonts w:ascii="Arial" w:eastAsia="宋体" w:hAnsi="Arial" w:cs="Arial"/>
          <w:color w:val="212121"/>
          <w:kern w:val="0"/>
          <w:szCs w:val="21"/>
        </w:rPr>
        <w:t>三方面的权衡，期权交割月保证金提高的最终确定需要</w:t>
      </w:r>
      <w:r w:rsidRPr="0090274B">
        <w:rPr>
          <w:rFonts w:ascii="Arial" w:eastAsia="宋体" w:hAnsi="Arial" w:cs="Arial"/>
          <w:color w:val="212121"/>
          <w:kern w:val="0"/>
          <w:szCs w:val="21"/>
          <w:highlight w:val="yellow"/>
        </w:rPr>
        <w:t>到期月价格分布</w:t>
      </w:r>
      <w:r w:rsidRPr="0010574D">
        <w:rPr>
          <w:rFonts w:ascii="Arial" w:eastAsia="宋体" w:hAnsi="Arial" w:cs="Arial"/>
          <w:color w:val="212121"/>
          <w:kern w:val="0"/>
          <w:szCs w:val="21"/>
        </w:rPr>
        <w:t>以及</w:t>
      </w:r>
      <w:r w:rsidRPr="0090274B">
        <w:rPr>
          <w:rFonts w:ascii="Arial" w:eastAsia="宋体" w:hAnsi="Arial" w:cs="Arial"/>
          <w:color w:val="212121"/>
          <w:kern w:val="0"/>
          <w:szCs w:val="21"/>
          <w:highlight w:val="yellow"/>
        </w:rPr>
        <w:t>价格扫描区间参数</w:t>
      </w:r>
      <w:r w:rsidRPr="0010574D">
        <w:rPr>
          <w:rFonts w:ascii="Arial" w:eastAsia="宋体" w:hAnsi="Arial" w:cs="Arial"/>
          <w:color w:val="212121"/>
          <w:kern w:val="0"/>
          <w:szCs w:val="21"/>
        </w:rPr>
        <w:t>两方面的权衡，因此对其中单独一个分布的非参数估计可考虑采用略为简单的近邻估计方法。</w:t>
      </w:r>
    </w:p>
    <w:p w14:paraId="6ED52311"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对每个</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选取一个以</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为中心且长度随机的区间，而区间内所包含的样本点个数是固定的</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w:t>
      </w:r>
      <w:proofErr w:type="gramStart"/>
      <w:r w:rsidRPr="0010574D">
        <w:rPr>
          <w:rFonts w:ascii="Arial" w:eastAsia="宋体" w:hAnsi="Arial" w:cs="Arial"/>
          <w:color w:val="212121"/>
          <w:kern w:val="0"/>
          <w:szCs w:val="21"/>
        </w:rPr>
        <w:t>则基差分</w:t>
      </w:r>
      <w:proofErr w:type="gramEnd"/>
      <w:r w:rsidRPr="0010574D">
        <w:rPr>
          <w:rFonts w:ascii="Arial" w:eastAsia="宋体" w:hAnsi="Arial" w:cs="Arial"/>
          <w:color w:val="212121"/>
          <w:kern w:val="0"/>
          <w:szCs w:val="21"/>
        </w:rPr>
        <w:t>布、交割</w:t>
      </w:r>
      <w:proofErr w:type="gramStart"/>
      <w:r w:rsidRPr="0010574D">
        <w:rPr>
          <w:rFonts w:ascii="Arial" w:eastAsia="宋体" w:hAnsi="Arial" w:cs="Arial"/>
          <w:color w:val="212121"/>
          <w:kern w:val="0"/>
          <w:szCs w:val="21"/>
        </w:rPr>
        <w:t>月价格</w:t>
      </w:r>
      <w:proofErr w:type="gramEnd"/>
      <w:r w:rsidRPr="0010574D">
        <w:rPr>
          <w:rFonts w:ascii="Arial" w:eastAsia="宋体" w:hAnsi="Arial" w:cs="Arial"/>
          <w:color w:val="212121"/>
          <w:kern w:val="0"/>
          <w:szCs w:val="21"/>
        </w:rPr>
        <w:t>分布、到期月价格分布的近邻估计为</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，其中的窗宽</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是个随机变量，而</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则为包含</w:t>
      </w:r>
      <w:r w:rsidRPr="0010574D">
        <w:rPr>
          <w:rFonts w:ascii="Arial" w:eastAsia="宋体" w:hAnsi="Arial" w:cs="Arial"/>
          <w:color w:val="212121"/>
          <w:kern w:val="0"/>
          <w:szCs w:val="21"/>
        </w:rPr>
        <w:t xml:space="preserve"> </w:t>
      </w:r>
      <w:r w:rsidRPr="0010574D">
        <w:rPr>
          <w:rFonts w:ascii="Arial" w:eastAsia="宋体" w:hAnsi="Arial" w:cs="Arial"/>
          <w:color w:val="212121"/>
          <w:kern w:val="0"/>
          <w:szCs w:val="21"/>
        </w:rPr>
        <w:t>个样本点的最短区间。</w:t>
      </w:r>
    </w:p>
    <w:p w14:paraId="01AF3885"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有了基差分布、期货交割</w:t>
      </w:r>
      <w:proofErr w:type="gramStart"/>
      <w:r w:rsidRPr="0010574D">
        <w:rPr>
          <w:rFonts w:ascii="Arial" w:eastAsia="宋体" w:hAnsi="Arial" w:cs="Arial"/>
          <w:color w:val="212121"/>
          <w:kern w:val="0"/>
          <w:szCs w:val="21"/>
        </w:rPr>
        <w:t>月价格</w:t>
      </w:r>
      <w:proofErr w:type="gramEnd"/>
      <w:r w:rsidRPr="0010574D">
        <w:rPr>
          <w:rFonts w:ascii="Arial" w:eastAsia="宋体" w:hAnsi="Arial" w:cs="Arial"/>
          <w:color w:val="212121"/>
          <w:kern w:val="0"/>
          <w:szCs w:val="21"/>
        </w:rPr>
        <w:t>分布、期权到期月价格分布，就可以很方便地获得在特定的置信区间下（比如</w:t>
      </w:r>
      <w:r w:rsidRPr="0010574D">
        <w:rPr>
          <w:rFonts w:ascii="Arial" w:eastAsia="宋体" w:hAnsi="Arial" w:cs="Arial"/>
          <w:color w:val="212121"/>
          <w:kern w:val="0"/>
          <w:szCs w:val="21"/>
        </w:rPr>
        <w:t>95</w:t>
      </w:r>
      <w:r w:rsidRPr="0010574D">
        <w:rPr>
          <w:rFonts w:ascii="Arial" w:eastAsia="宋体" w:hAnsi="Arial" w:cs="Arial"/>
          <w:color w:val="212121"/>
          <w:kern w:val="0"/>
          <w:szCs w:val="21"/>
        </w:rPr>
        <w:t>％），基差、交割</w:t>
      </w:r>
      <w:proofErr w:type="gramStart"/>
      <w:r w:rsidRPr="0010574D">
        <w:rPr>
          <w:rFonts w:ascii="Arial" w:eastAsia="宋体" w:hAnsi="Arial" w:cs="Arial"/>
          <w:color w:val="212121"/>
          <w:kern w:val="0"/>
          <w:szCs w:val="21"/>
        </w:rPr>
        <w:t>月或者</w:t>
      </w:r>
      <w:proofErr w:type="gramEnd"/>
      <w:r w:rsidRPr="0010574D">
        <w:rPr>
          <w:rFonts w:ascii="Arial" w:eastAsia="宋体" w:hAnsi="Arial" w:cs="Arial"/>
          <w:color w:val="212121"/>
          <w:kern w:val="0"/>
          <w:szCs w:val="21"/>
        </w:rPr>
        <w:t>到期月价格的波动范围。交易所再结合价格扫描区间参数来最终确定交割月保证金提高。</w:t>
      </w:r>
    </w:p>
    <w:p w14:paraId="3A17E4D0"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lastRenderedPageBreak/>
        <w:t>交割月保证金提高的确定需要参考价格扫描区间参数，因此原则上</w:t>
      </w:r>
      <w:r w:rsidRPr="0090274B">
        <w:rPr>
          <w:rFonts w:ascii="Arial" w:eastAsia="宋体" w:hAnsi="Arial" w:cs="Arial"/>
          <w:color w:val="212121"/>
          <w:kern w:val="0"/>
          <w:szCs w:val="21"/>
          <w:highlight w:val="yellow"/>
        </w:rPr>
        <w:t>每天确定一次</w:t>
      </w:r>
      <w:r w:rsidRPr="0010574D">
        <w:rPr>
          <w:rFonts w:ascii="Arial" w:eastAsia="宋体" w:hAnsi="Arial" w:cs="Arial"/>
          <w:color w:val="212121"/>
          <w:kern w:val="0"/>
          <w:szCs w:val="21"/>
        </w:rPr>
        <w:t>，但如果新的交割月保证金提高在原有参数基础上未超过某一比例的变化时，则保持该参数不动。在特殊市场风险情形下，交割月保证金提高可作相应的调整。</w:t>
      </w:r>
    </w:p>
    <w:p w14:paraId="41B1D6A2"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6</w:t>
      </w:r>
      <w:r w:rsidRPr="0010574D">
        <w:rPr>
          <w:rFonts w:ascii="Arial" w:eastAsia="宋体" w:hAnsi="Arial" w:cs="Arial"/>
          <w:color w:val="212121"/>
          <w:kern w:val="0"/>
          <w:szCs w:val="21"/>
        </w:rPr>
        <w:t>、</w:t>
      </w:r>
      <w:r w:rsidRPr="0090274B">
        <w:rPr>
          <w:rFonts w:ascii="Arial" w:eastAsia="宋体" w:hAnsi="Arial" w:cs="Arial"/>
          <w:color w:val="212121"/>
          <w:kern w:val="0"/>
          <w:szCs w:val="21"/>
          <w:highlight w:val="yellow"/>
        </w:rPr>
        <w:t>商品组间保证金信用抵扣</w:t>
      </w:r>
    </w:p>
    <w:p w14:paraId="5E83D1E0"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在同一个商品群下的商品组合之间，其</w:t>
      </w:r>
      <w:r w:rsidRPr="009542D5">
        <w:rPr>
          <w:rFonts w:ascii="Arial" w:eastAsia="宋体" w:hAnsi="Arial" w:cs="Arial"/>
          <w:color w:val="212121"/>
          <w:kern w:val="0"/>
          <w:szCs w:val="21"/>
          <w:highlight w:val="yellow"/>
        </w:rPr>
        <w:t>价格行为</w:t>
      </w:r>
      <w:r w:rsidRPr="0010574D">
        <w:rPr>
          <w:rFonts w:ascii="Arial" w:eastAsia="宋体" w:hAnsi="Arial" w:cs="Arial"/>
          <w:color w:val="212121"/>
          <w:kern w:val="0"/>
          <w:szCs w:val="21"/>
        </w:rPr>
        <w:t>往往具有</w:t>
      </w:r>
      <w:r w:rsidRPr="009542D5">
        <w:rPr>
          <w:rFonts w:ascii="Arial" w:eastAsia="宋体" w:hAnsi="Arial" w:cs="Arial"/>
          <w:color w:val="212121"/>
          <w:kern w:val="0"/>
          <w:szCs w:val="21"/>
          <w:highlight w:val="yellow"/>
        </w:rPr>
        <w:t>较强的相关性</w:t>
      </w:r>
      <w:r w:rsidRPr="0010574D">
        <w:rPr>
          <w:rFonts w:ascii="Arial" w:eastAsia="宋体" w:hAnsi="Arial" w:cs="Arial"/>
          <w:color w:val="212121"/>
          <w:kern w:val="0"/>
          <w:szCs w:val="21"/>
        </w:rPr>
        <w:t>，且大多呈现</w:t>
      </w:r>
      <w:r w:rsidRPr="009542D5">
        <w:rPr>
          <w:rFonts w:ascii="Arial" w:eastAsia="宋体" w:hAnsi="Arial" w:cs="Arial"/>
          <w:color w:val="212121"/>
          <w:kern w:val="0"/>
          <w:szCs w:val="21"/>
          <w:highlight w:val="yellow"/>
        </w:rPr>
        <w:t>正相关</w:t>
      </w:r>
      <w:r w:rsidRPr="0010574D">
        <w:rPr>
          <w:rFonts w:ascii="Arial" w:eastAsia="宋体" w:hAnsi="Arial" w:cs="Arial"/>
          <w:color w:val="212121"/>
          <w:kern w:val="0"/>
          <w:szCs w:val="21"/>
        </w:rPr>
        <w:t>。这种价格上较强的相关性为相似商品之间保证金的抵扣提供了依据。</w:t>
      </w:r>
    </w:p>
    <w:p w14:paraId="02177417"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因此，</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系统允许</w:t>
      </w:r>
      <w:r w:rsidRPr="004E721C">
        <w:rPr>
          <w:rFonts w:ascii="Arial" w:eastAsia="宋体" w:hAnsi="Arial" w:cs="Arial"/>
          <w:color w:val="212121"/>
          <w:kern w:val="0"/>
          <w:szCs w:val="21"/>
          <w:highlight w:val="yellow"/>
        </w:rPr>
        <w:t>同一商品群</w:t>
      </w:r>
      <w:r w:rsidRPr="0010574D">
        <w:rPr>
          <w:rFonts w:ascii="Arial" w:eastAsia="宋体" w:hAnsi="Arial" w:cs="Arial"/>
          <w:color w:val="212121"/>
          <w:kern w:val="0"/>
          <w:szCs w:val="21"/>
        </w:rPr>
        <w:t>下的</w:t>
      </w:r>
      <w:r w:rsidRPr="004E721C">
        <w:rPr>
          <w:rFonts w:ascii="Arial" w:eastAsia="宋体" w:hAnsi="Arial" w:cs="Arial"/>
          <w:color w:val="212121"/>
          <w:kern w:val="0"/>
          <w:szCs w:val="21"/>
          <w:highlight w:val="yellow"/>
        </w:rPr>
        <w:t>方向相反的商品合约</w:t>
      </w:r>
      <w:r w:rsidRPr="0010574D">
        <w:rPr>
          <w:rFonts w:ascii="Arial" w:eastAsia="宋体" w:hAnsi="Arial" w:cs="Arial"/>
          <w:color w:val="212121"/>
          <w:kern w:val="0"/>
          <w:szCs w:val="21"/>
        </w:rPr>
        <w:t>之间在</w:t>
      </w:r>
      <w:r w:rsidRPr="004E721C">
        <w:rPr>
          <w:rFonts w:ascii="Arial" w:eastAsia="宋体" w:hAnsi="Arial" w:cs="Arial"/>
          <w:color w:val="212121"/>
          <w:kern w:val="0"/>
          <w:szCs w:val="21"/>
          <w:highlight w:val="yellow"/>
        </w:rPr>
        <w:t>保证金</w:t>
      </w:r>
      <w:r w:rsidRPr="0010574D">
        <w:rPr>
          <w:rFonts w:ascii="Arial" w:eastAsia="宋体" w:hAnsi="Arial" w:cs="Arial"/>
          <w:color w:val="212121"/>
          <w:kern w:val="0"/>
          <w:szCs w:val="21"/>
        </w:rPr>
        <w:t>上具有一定的</w:t>
      </w:r>
      <w:r w:rsidRPr="004E721C">
        <w:rPr>
          <w:rFonts w:ascii="Arial" w:eastAsia="宋体" w:hAnsi="Arial" w:cs="Arial"/>
          <w:color w:val="212121"/>
          <w:kern w:val="0"/>
          <w:szCs w:val="21"/>
          <w:highlight w:val="yellow"/>
        </w:rPr>
        <w:t>抵扣比例</w:t>
      </w:r>
      <w:r w:rsidRPr="0010574D">
        <w:rPr>
          <w:rFonts w:ascii="Arial" w:eastAsia="宋体" w:hAnsi="Arial" w:cs="Arial"/>
          <w:color w:val="212121"/>
          <w:kern w:val="0"/>
          <w:szCs w:val="21"/>
        </w:rPr>
        <w:t>，其具体的抵扣比例就是由商品组间</w:t>
      </w:r>
      <w:r w:rsidRPr="00C0409B">
        <w:rPr>
          <w:rFonts w:ascii="Arial" w:eastAsia="宋体" w:hAnsi="Arial" w:cs="Arial"/>
          <w:color w:val="212121"/>
          <w:kern w:val="0"/>
          <w:szCs w:val="21"/>
          <w:highlight w:val="yellow"/>
        </w:rPr>
        <w:t>保证金信用抵扣</w:t>
      </w:r>
      <w:r w:rsidRPr="0010574D">
        <w:rPr>
          <w:rFonts w:ascii="Arial" w:eastAsia="宋体" w:hAnsi="Arial" w:cs="Arial"/>
          <w:color w:val="212121"/>
          <w:kern w:val="0"/>
          <w:szCs w:val="21"/>
        </w:rPr>
        <w:t>来</w:t>
      </w:r>
      <w:proofErr w:type="gramStart"/>
      <w:r w:rsidRPr="0010574D">
        <w:rPr>
          <w:rFonts w:ascii="Arial" w:eastAsia="宋体" w:hAnsi="Arial" w:cs="Arial"/>
          <w:color w:val="212121"/>
          <w:kern w:val="0"/>
          <w:szCs w:val="21"/>
        </w:rPr>
        <w:t>刻划</w:t>
      </w:r>
      <w:proofErr w:type="gramEnd"/>
      <w:r w:rsidRPr="0010574D">
        <w:rPr>
          <w:rFonts w:ascii="Arial" w:eastAsia="宋体" w:hAnsi="Arial" w:cs="Arial"/>
          <w:color w:val="212121"/>
          <w:kern w:val="0"/>
          <w:szCs w:val="21"/>
        </w:rPr>
        <w:t>的。商品间价格</w:t>
      </w:r>
      <w:r w:rsidRPr="00C0409B">
        <w:rPr>
          <w:rFonts w:ascii="Arial" w:eastAsia="宋体" w:hAnsi="Arial" w:cs="Arial"/>
          <w:color w:val="212121"/>
          <w:kern w:val="0"/>
          <w:szCs w:val="21"/>
          <w:highlight w:val="yellow"/>
        </w:rPr>
        <w:t>相关性越低</w:t>
      </w:r>
      <w:r w:rsidRPr="0010574D">
        <w:rPr>
          <w:rFonts w:ascii="Arial" w:eastAsia="宋体" w:hAnsi="Arial" w:cs="Arial"/>
          <w:color w:val="212121"/>
          <w:kern w:val="0"/>
          <w:szCs w:val="21"/>
        </w:rPr>
        <w:t>，商品组间</w:t>
      </w:r>
      <w:r w:rsidRPr="00C0409B">
        <w:rPr>
          <w:rFonts w:ascii="Arial" w:eastAsia="宋体" w:hAnsi="Arial" w:cs="Arial"/>
          <w:color w:val="212121"/>
          <w:kern w:val="0"/>
          <w:szCs w:val="21"/>
          <w:highlight w:val="yellow"/>
        </w:rPr>
        <w:t>保证金信用抵扣比例就越低</w:t>
      </w:r>
      <w:r w:rsidRPr="0010574D">
        <w:rPr>
          <w:rFonts w:ascii="Arial" w:eastAsia="宋体" w:hAnsi="Arial" w:cs="Arial"/>
          <w:color w:val="212121"/>
          <w:kern w:val="0"/>
          <w:szCs w:val="21"/>
        </w:rPr>
        <w:t>，当商品间价格呈现弱相关性时，商品组间一般不再给予任何保证金信用抵扣。</w:t>
      </w:r>
    </w:p>
    <w:p w14:paraId="58CD578B"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SPAN</w:t>
      </w:r>
      <w:r w:rsidRPr="0010574D">
        <w:rPr>
          <w:rFonts w:ascii="Arial" w:eastAsia="宋体" w:hAnsi="Arial" w:cs="Arial"/>
          <w:color w:val="212121"/>
          <w:kern w:val="0"/>
          <w:szCs w:val="21"/>
        </w:rPr>
        <w:t>系统中的投资组合的风险值是</w:t>
      </w:r>
      <w:r w:rsidRPr="00C0409B">
        <w:rPr>
          <w:rFonts w:ascii="Arial" w:eastAsia="宋体" w:hAnsi="Arial" w:cs="Arial"/>
          <w:color w:val="212121"/>
          <w:kern w:val="0"/>
          <w:szCs w:val="21"/>
          <w:highlight w:val="yellow"/>
        </w:rPr>
        <w:t>加</w:t>
      </w:r>
      <w:proofErr w:type="gramStart"/>
      <w:r w:rsidRPr="00C0409B">
        <w:rPr>
          <w:rFonts w:ascii="Arial" w:eastAsia="宋体" w:hAnsi="Arial" w:cs="Arial"/>
          <w:color w:val="212121"/>
          <w:kern w:val="0"/>
          <w:szCs w:val="21"/>
          <w:highlight w:val="yellow"/>
        </w:rPr>
        <w:t>总</w:t>
      </w:r>
      <w:r w:rsidRPr="0010574D">
        <w:rPr>
          <w:rFonts w:ascii="Arial" w:eastAsia="宋体" w:hAnsi="Arial" w:cs="Arial"/>
          <w:color w:val="212121"/>
          <w:kern w:val="0"/>
          <w:szCs w:val="21"/>
        </w:rPr>
        <w:t>所有</w:t>
      </w:r>
      <w:proofErr w:type="gramEnd"/>
      <w:r w:rsidRPr="0010574D">
        <w:rPr>
          <w:rFonts w:ascii="Arial" w:eastAsia="宋体" w:hAnsi="Arial" w:cs="Arial"/>
          <w:color w:val="212121"/>
          <w:kern w:val="0"/>
          <w:szCs w:val="21"/>
        </w:rPr>
        <w:t>商品组合的风险值后，再</w:t>
      </w:r>
      <w:r w:rsidRPr="00C0409B">
        <w:rPr>
          <w:rFonts w:ascii="Arial" w:eastAsia="宋体" w:hAnsi="Arial" w:cs="Arial"/>
          <w:color w:val="212121"/>
          <w:kern w:val="0"/>
          <w:szCs w:val="21"/>
          <w:highlight w:val="yellow"/>
        </w:rPr>
        <w:t>减去</w:t>
      </w:r>
      <w:r w:rsidRPr="0010574D">
        <w:rPr>
          <w:rFonts w:ascii="Arial" w:eastAsia="宋体" w:hAnsi="Arial" w:cs="Arial"/>
          <w:color w:val="212121"/>
          <w:kern w:val="0"/>
          <w:szCs w:val="21"/>
        </w:rPr>
        <w:t>商品组间保证金信用抵扣额度来得到的。而商品组间保证金</w:t>
      </w:r>
      <w:r w:rsidRPr="00C0409B">
        <w:rPr>
          <w:rFonts w:ascii="Arial" w:eastAsia="宋体" w:hAnsi="Arial" w:cs="Arial"/>
          <w:color w:val="212121"/>
          <w:kern w:val="0"/>
          <w:szCs w:val="21"/>
          <w:highlight w:val="yellow"/>
        </w:rPr>
        <w:t>信用抵扣参数</w:t>
      </w:r>
      <w:r w:rsidRPr="0010574D">
        <w:rPr>
          <w:rFonts w:ascii="Arial" w:eastAsia="宋体" w:hAnsi="Arial" w:cs="Arial"/>
          <w:color w:val="212121"/>
          <w:kern w:val="0"/>
          <w:szCs w:val="21"/>
        </w:rPr>
        <w:t>实际上是一个</w:t>
      </w:r>
      <w:r w:rsidRPr="00C0409B">
        <w:rPr>
          <w:rFonts w:ascii="Arial" w:eastAsia="宋体" w:hAnsi="Arial" w:cs="Arial"/>
          <w:color w:val="212121"/>
          <w:kern w:val="0"/>
          <w:szCs w:val="21"/>
          <w:highlight w:val="yellow"/>
        </w:rPr>
        <w:t>比率</w:t>
      </w:r>
      <w:r w:rsidRPr="0010574D">
        <w:rPr>
          <w:rFonts w:ascii="Arial" w:eastAsia="宋体" w:hAnsi="Arial" w:cs="Arial"/>
          <w:color w:val="212121"/>
          <w:kern w:val="0"/>
          <w:szCs w:val="21"/>
        </w:rPr>
        <w:t>，需要乘以一个价格系数才能得到商品组间保证金信用抵扣额度。由于两个商品共用一个商品组间保证金信用抵扣参数，价格系数就不能是两个商品价格中的任意一个，从而必须确定一个</w:t>
      </w:r>
      <w:r w:rsidRPr="00C0409B">
        <w:rPr>
          <w:rFonts w:ascii="Arial" w:eastAsia="宋体" w:hAnsi="Arial" w:cs="Arial"/>
          <w:color w:val="212121"/>
          <w:kern w:val="0"/>
          <w:szCs w:val="21"/>
          <w:highlight w:val="yellow"/>
        </w:rPr>
        <w:t>共用的价格系数</w:t>
      </w:r>
      <w:r w:rsidRPr="0010574D">
        <w:rPr>
          <w:rFonts w:ascii="Arial" w:eastAsia="宋体" w:hAnsi="Arial" w:cs="Arial"/>
          <w:color w:val="212121"/>
          <w:kern w:val="0"/>
          <w:szCs w:val="21"/>
        </w:rPr>
        <w:t>。这个价格系数就是</w:t>
      </w:r>
      <w:r w:rsidRPr="0010574D">
        <w:rPr>
          <w:rFonts w:ascii="Arial" w:eastAsia="宋体" w:hAnsi="Arial" w:cs="Arial"/>
          <w:color w:val="212121"/>
          <w:kern w:val="0"/>
          <w:szCs w:val="21"/>
        </w:rPr>
        <w:t>SPAN</w:t>
      </w:r>
      <w:r w:rsidRPr="0010574D">
        <w:rPr>
          <w:rFonts w:ascii="Arial" w:eastAsia="宋体" w:hAnsi="Arial" w:cs="Arial"/>
          <w:color w:val="212121"/>
          <w:kern w:val="0"/>
          <w:szCs w:val="21"/>
        </w:rPr>
        <w:t>系统中的</w:t>
      </w:r>
      <w:r w:rsidRPr="00C0409B">
        <w:rPr>
          <w:rFonts w:ascii="Arial" w:eastAsia="宋体" w:hAnsi="Arial" w:cs="Arial"/>
          <w:color w:val="212121"/>
          <w:kern w:val="0"/>
          <w:szCs w:val="21"/>
          <w:highlight w:val="yellow"/>
        </w:rPr>
        <w:t>复合</w:t>
      </w:r>
      <w:r w:rsidRPr="00C0409B">
        <w:rPr>
          <w:rFonts w:ascii="Arial" w:eastAsia="宋体" w:hAnsi="Arial" w:cs="Arial"/>
          <w:color w:val="212121"/>
          <w:kern w:val="0"/>
          <w:szCs w:val="21"/>
          <w:highlight w:val="yellow"/>
        </w:rPr>
        <w:t>Delta</w:t>
      </w:r>
      <w:r w:rsidRPr="00C0409B">
        <w:rPr>
          <w:rFonts w:ascii="Arial" w:eastAsia="宋体" w:hAnsi="Arial" w:cs="Arial"/>
          <w:color w:val="212121"/>
          <w:kern w:val="0"/>
          <w:szCs w:val="21"/>
          <w:highlight w:val="yellow"/>
        </w:rPr>
        <w:t>参数</w:t>
      </w:r>
      <w:r w:rsidRPr="0010574D">
        <w:rPr>
          <w:rFonts w:ascii="Arial" w:eastAsia="宋体" w:hAnsi="Arial" w:cs="Arial"/>
          <w:color w:val="212121"/>
          <w:kern w:val="0"/>
          <w:szCs w:val="21"/>
        </w:rPr>
        <w:t>，是依据两个商品的合约在不同市场情形下的历史价格表现来估计的。</w:t>
      </w:r>
    </w:p>
    <w:p w14:paraId="58A44A63"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商品组间保证金信用抵扣原则上</w:t>
      </w:r>
      <w:r w:rsidRPr="00C0409B">
        <w:rPr>
          <w:rFonts w:ascii="Arial" w:eastAsia="宋体" w:hAnsi="Arial" w:cs="Arial"/>
          <w:color w:val="212121"/>
          <w:kern w:val="0"/>
          <w:szCs w:val="21"/>
          <w:highlight w:val="yellow"/>
        </w:rPr>
        <w:t>每天计算一次</w:t>
      </w:r>
      <w:r w:rsidRPr="0010574D">
        <w:rPr>
          <w:rFonts w:ascii="Arial" w:eastAsia="宋体" w:hAnsi="Arial" w:cs="Arial"/>
          <w:color w:val="212121"/>
          <w:kern w:val="0"/>
          <w:szCs w:val="21"/>
        </w:rPr>
        <w:t>，但如果新的信用抵扣比率在原有参数基础上未超过某一比例的变化时，则保持该参数不动。但在诸如</w:t>
      </w:r>
      <w:r w:rsidRPr="00C0409B">
        <w:rPr>
          <w:rFonts w:ascii="Arial" w:eastAsia="宋体" w:hAnsi="Arial" w:cs="Arial"/>
          <w:color w:val="212121"/>
          <w:kern w:val="0"/>
          <w:szCs w:val="21"/>
          <w:highlight w:val="yellow"/>
        </w:rPr>
        <w:t>商品组间价格产生巨大背离</w:t>
      </w:r>
      <w:r w:rsidRPr="0010574D">
        <w:rPr>
          <w:rFonts w:ascii="Arial" w:eastAsia="宋体" w:hAnsi="Arial" w:cs="Arial"/>
          <w:color w:val="212121"/>
          <w:kern w:val="0"/>
          <w:szCs w:val="21"/>
        </w:rPr>
        <w:t>等特殊市场风险情形下，可</w:t>
      </w:r>
      <w:r w:rsidRPr="00C0409B">
        <w:rPr>
          <w:rFonts w:ascii="Arial" w:eastAsia="宋体" w:hAnsi="Arial" w:cs="Arial"/>
          <w:color w:val="212121"/>
          <w:kern w:val="0"/>
          <w:szCs w:val="21"/>
          <w:highlight w:val="yellow"/>
        </w:rPr>
        <w:t>降低</w:t>
      </w:r>
      <w:r w:rsidRPr="0010574D">
        <w:rPr>
          <w:rFonts w:ascii="Arial" w:eastAsia="宋体" w:hAnsi="Arial" w:cs="Arial"/>
          <w:color w:val="212121"/>
          <w:kern w:val="0"/>
          <w:szCs w:val="21"/>
        </w:rPr>
        <w:t>某两个商品组间保证金信用抵扣比率，甚至不给予任何信用抵扣。</w:t>
      </w:r>
    </w:p>
    <w:p w14:paraId="31C68F1C" w14:textId="77777777" w:rsidR="0010574D" w:rsidRPr="0010574D" w:rsidRDefault="0010574D" w:rsidP="0010574D">
      <w:pPr>
        <w:widowControl/>
        <w:shd w:val="clear" w:color="auto" w:fill="FFFFFF"/>
        <w:spacing w:after="240"/>
        <w:jc w:val="left"/>
        <w:rPr>
          <w:rFonts w:ascii="Arial" w:eastAsia="宋体" w:hAnsi="Arial" w:cs="Arial"/>
          <w:color w:val="212121"/>
          <w:kern w:val="0"/>
          <w:szCs w:val="21"/>
        </w:rPr>
      </w:pPr>
      <w:r w:rsidRPr="0010574D">
        <w:rPr>
          <w:rFonts w:ascii="Arial" w:eastAsia="宋体" w:hAnsi="Arial" w:cs="Arial"/>
          <w:color w:val="212121"/>
          <w:kern w:val="0"/>
          <w:szCs w:val="21"/>
        </w:rPr>
        <w:t>SPAN</w:t>
      </w:r>
      <w:r w:rsidRPr="0010574D">
        <w:rPr>
          <w:rFonts w:ascii="Arial" w:eastAsia="宋体" w:hAnsi="Arial" w:cs="Arial"/>
          <w:color w:val="212121"/>
          <w:kern w:val="0"/>
          <w:szCs w:val="21"/>
        </w:rPr>
        <w:t>系统不仅仅是一个</w:t>
      </w:r>
      <w:r w:rsidRPr="00C0409B">
        <w:rPr>
          <w:rFonts w:ascii="Arial" w:eastAsia="宋体" w:hAnsi="Arial" w:cs="Arial"/>
          <w:color w:val="212121"/>
          <w:kern w:val="0"/>
          <w:szCs w:val="21"/>
          <w:highlight w:val="yellow"/>
        </w:rPr>
        <w:t>保证金计算系统</w:t>
      </w:r>
      <w:r w:rsidRPr="0010574D">
        <w:rPr>
          <w:rFonts w:ascii="Arial" w:eastAsia="宋体" w:hAnsi="Arial" w:cs="Arial"/>
          <w:color w:val="212121"/>
          <w:kern w:val="0"/>
          <w:szCs w:val="21"/>
        </w:rPr>
        <w:t>，同时也是一个</w:t>
      </w:r>
      <w:r w:rsidRPr="00C0409B">
        <w:rPr>
          <w:rFonts w:ascii="Arial" w:eastAsia="宋体" w:hAnsi="Arial" w:cs="Arial"/>
          <w:color w:val="212121"/>
          <w:kern w:val="0"/>
          <w:szCs w:val="21"/>
          <w:highlight w:val="yellow"/>
        </w:rPr>
        <w:t>基于投资组合风险价值评估的市场风险模拟与分析系统</w:t>
      </w:r>
      <w:r w:rsidRPr="0010574D">
        <w:rPr>
          <w:rFonts w:ascii="Arial" w:eastAsia="宋体" w:hAnsi="Arial" w:cs="Arial"/>
          <w:color w:val="212121"/>
          <w:kern w:val="0"/>
          <w:szCs w:val="21"/>
        </w:rPr>
        <w:t>，可为包括</w:t>
      </w:r>
      <w:r w:rsidRPr="00CE140F">
        <w:rPr>
          <w:rFonts w:ascii="Arial" w:eastAsia="宋体" w:hAnsi="Arial" w:cs="Arial"/>
          <w:color w:val="212121"/>
          <w:kern w:val="0"/>
          <w:szCs w:val="21"/>
          <w:highlight w:val="yellow"/>
        </w:rPr>
        <w:t>期货、期权、现货、股票及其任意组合的金融产品</w:t>
      </w:r>
      <w:r w:rsidRPr="0010574D">
        <w:rPr>
          <w:rFonts w:ascii="Arial" w:eastAsia="宋体" w:hAnsi="Arial" w:cs="Arial"/>
          <w:color w:val="212121"/>
          <w:kern w:val="0"/>
          <w:szCs w:val="21"/>
        </w:rPr>
        <w:t>进行</w:t>
      </w:r>
      <w:r w:rsidRPr="00D13DBB">
        <w:rPr>
          <w:rFonts w:ascii="Arial" w:eastAsia="宋体" w:hAnsi="Arial" w:cs="Arial"/>
          <w:color w:val="212121"/>
          <w:kern w:val="0"/>
          <w:szCs w:val="21"/>
          <w:highlight w:val="yellow"/>
        </w:rPr>
        <w:t>风险评估</w:t>
      </w:r>
      <w:r w:rsidRPr="0010574D">
        <w:rPr>
          <w:rFonts w:ascii="Arial" w:eastAsia="宋体" w:hAnsi="Arial" w:cs="Arial"/>
          <w:color w:val="212121"/>
          <w:kern w:val="0"/>
          <w:szCs w:val="21"/>
        </w:rPr>
        <w:t>。在风险评估基础上形成的保证金结果从风险管理角度而言更为有效，从而</w:t>
      </w:r>
      <w:r w:rsidRPr="00D13DBB">
        <w:rPr>
          <w:rFonts w:ascii="Arial" w:eastAsia="宋体" w:hAnsi="Arial" w:cs="Arial"/>
          <w:color w:val="212121"/>
          <w:kern w:val="0"/>
          <w:szCs w:val="21"/>
          <w:highlight w:val="yellow"/>
        </w:rPr>
        <w:t>在风险可控的前提下提高了资本的使用效率</w:t>
      </w:r>
      <w:r w:rsidRPr="0010574D">
        <w:rPr>
          <w:rFonts w:ascii="Arial" w:eastAsia="宋体" w:hAnsi="Arial" w:cs="Arial"/>
          <w:color w:val="212121"/>
          <w:kern w:val="0"/>
          <w:szCs w:val="21"/>
        </w:rPr>
        <w:t>。交易所也可以通过</w:t>
      </w:r>
      <w:r w:rsidRPr="00D13DBB">
        <w:rPr>
          <w:rFonts w:ascii="Arial" w:eastAsia="宋体" w:hAnsi="Arial" w:cs="Arial"/>
          <w:color w:val="212121"/>
          <w:kern w:val="0"/>
          <w:szCs w:val="21"/>
          <w:highlight w:val="yellow"/>
        </w:rPr>
        <w:t>模拟市场变化</w:t>
      </w:r>
      <w:r w:rsidRPr="0010574D">
        <w:rPr>
          <w:rFonts w:ascii="Arial" w:eastAsia="宋体" w:hAnsi="Arial" w:cs="Arial"/>
          <w:color w:val="212121"/>
          <w:kern w:val="0"/>
          <w:szCs w:val="21"/>
        </w:rPr>
        <w:t>，迅速搜寻出存在潜在风险的客户，并在此基础之上时时了解交易所面临的可能的风险的大小与概率，从而为交易所特殊市场风险情形下果断</w:t>
      </w:r>
      <w:proofErr w:type="gramStart"/>
      <w:r w:rsidRPr="0010574D">
        <w:rPr>
          <w:rFonts w:ascii="Arial" w:eastAsia="宋体" w:hAnsi="Arial" w:cs="Arial"/>
          <w:color w:val="212121"/>
          <w:kern w:val="0"/>
          <w:szCs w:val="21"/>
        </w:rPr>
        <w:t>作出</w:t>
      </w:r>
      <w:proofErr w:type="gramEnd"/>
      <w:r w:rsidRPr="0010574D">
        <w:rPr>
          <w:rFonts w:ascii="Arial" w:eastAsia="宋体" w:hAnsi="Arial" w:cs="Arial"/>
          <w:color w:val="212121"/>
          <w:kern w:val="0"/>
          <w:szCs w:val="21"/>
        </w:rPr>
        <w:t>决策提供了风险管理层面上的依据。</w:t>
      </w:r>
    </w:p>
    <w:p w14:paraId="26EBE0D0" w14:textId="6953F003" w:rsidR="006B5749" w:rsidRDefault="00000000">
      <w:hyperlink r:id="rId11" w:history="1">
        <w:r w:rsidR="0010574D" w:rsidRPr="00047C81">
          <w:rPr>
            <w:rStyle w:val="a8"/>
          </w:rPr>
          <w:t>https://www.shfe.com.cn/docview/docview_4226237.htm</w:t>
        </w:r>
      </w:hyperlink>
    </w:p>
    <w:p w14:paraId="77C99FCD" w14:textId="77777777" w:rsidR="0010574D" w:rsidRDefault="0010574D">
      <w:pPr>
        <w:pBdr>
          <w:bottom w:val="single" w:sz="6" w:space="1" w:color="auto"/>
        </w:pBdr>
      </w:pPr>
    </w:p>
    <w:p w14:paraId="5F3B5E5D" w14:textId="043F72BE" w:rsidR="007C56C8" w:rsidRDefault="007C56C8">
      <w:r>
        <w:rPr>
          <w:rFonts w:hint="eastAsia"/>
        </w:rPr>
        <w:t>更多背景知识：</w:t>
      </w:r>
    </w:p>
    <w:p w14:paraId="5283080E" w14:textId="77777777" w:rsidR="007C56C8" w:rsidRDefault="007C56C8"/>
    <w:p w14:paraId="124A96DB" w14:textId="0850B42B" w:rsidR="007C56C8" w:rsidRPr="007C56C8" w:rsidRDefault="007C56C8" w:rsidP="007C56C8">
      <w:pPr>
        <w:widowControl/>
        <w:shd w:val="clear" w:color="auto" w:fill="FFFFFF"/>
        <w:jc w:val="left"/>
        <w:outlineLvl w:val="0"/>
        <w:rPr>
          <w:rFonts w:ascii="微软雅黑" w:eastAsia="微软雅黑" w:hAnsi="微软雅黑" w:cs="宋体"/>
          <w:b/>
          <w:bCs/>
          <w:color w:val="323232"/>
          <w:kern w:val="36"/>
          <w:sz w:val="35"/>
          <w:szCs w:val="35"/>
        </w:rPr>
      </w:pPr>
      <w:r w:rsidRPr="007C56C8">
        <w:rPr>
          <w:rFonts w:ascii="微软雅黑" w:eastAsia="微软雅黑" w:hAnsi="微软雅黑" w:cs="宋体" w:hint="eastAsia"/>
          <w:b/>
          <w:bCs/>
          <w:color w:val="323232"/>
          <w:kern w:val="36"/>
          <w:sz w:val="35"/>
          <w:szCs w:val="35"/>
          <w:highlight w:val="yellow"/>
        </w:rPr>
        <w:t>期货换月价差</w:t>
      </w:r>
      <w:r w:rsidRPr="007C56C8">
        <w:rPr>
          <w:rFonts w:ascii="微软雅黑" w:eastAsia="微软雅黑" w:hAnsi="微软雅黑" w:cs="宋体" w:hint="eastAsia"/>
          <w:b/>
          <w:bCs/>
          <w:color w:val="323232"/>
          <w:kern w:val="36"/>
          <w:sz w:val="35"/>
          <w:szCs w:val="35"/>
        </w:rPr>
        <w:t>大说明什么？一文清楚！</w:t>
      </w:r>
    </w:p>
    <w:p w14:paraId="528A050E" w14:textId="77777777" w:rsidR="007C56C8" w:rsidRPr="007C56C8" w:rsidRDefault="007C56C8" w:rsidP="007C56C8">
      <w:pPr>
        <w:widowControl/>
        <w:shd w:val="clear" w:color="auto" w:fill="FFFFFF"/>
        <w:jc w:val="left"/>
        <w:rPr>
          <w:rFonts w:ascii="微软雅黑" w:eastAsia="微软雅黑" w:hAnsi="微软雅黑" w:cs="宋体"/>
          <w:color w:val="000000"/>
          <w:kern w:val="0"/>
          <w:sz w:val="150"/>
          <w:szCs w:val="150"/>
        </w:rPr>
      </w:pPr>
      <w:r w:rsidRPr="007C56C8">
        <w:rPr>
          <w:rFonts w:ascii="微软雅黑" w:eastAsia="微软雅黑" w:hAnsi="微软雅黑" w:cs="宋体" w:hint="eastAsia"/>
          <w:b/>
          <w:bCs/>
          <w:color w:val="323232"/>
          <w:kern w:val="0"/>
          <w:szCs w:val="21"/>
        </w:rPr>
        <w:t>期货研究员</w:t>
      </w:r>
    </w:p>
    <w:p w14:paraId="13F0DE74" w14:textId="77777777" w:rsidR="007C56C8" w:rsidRPr="007C56C8" w:rsidRDefault="007C56C8" w:rsidP="007C56C8">
      <w:pPr>
        <w:widowControl/>
        <w:shd w:val="clear" w:color="auto" w:fill="FFFFFF"/>
        <w:jc w:val="left"/>
        <w:rPr>
          <w:rFonts w:ascii="微软雅黑" w:eastAsia="微软雅黑" w:hAnsi="微软雅黑" w:cs="宋体"/>
          <w:color w:val="8D949B"/>
          <w:kern w:val="0"/>
          <w:sz w:val="15"/>
          <w:szCs w:val="15"/>
        </w:rPr>
      </w:pPr>
      <w:r w:rsidRPr="007C56C8">
        <w:rPr>
          <w:rFonts w:ascii="微软雅黑" w:eastAsia="微软雅黑" w:hAnsi="微软雅黑" w:cs="宋体" w:hint="eastAsia"/>
          <w:color w:val="8D949B"/>
          <w:kern w:val="0"/>
          <w:sz w:val="15"/>
          <w:szCs w:val="15"/>
        </w:rPr>
        <w:t>06-16 17:13 · 发布于 福建</w:t>
      </w:r>
    </w:p>
    <w:p w14:paraId="1A92BEFE" w14:textId="77777777" w:rsidR="007C56C8" w:rsidRPr="007C56C8" w:rsidRDefault="007C56C8" w:rsidP="007C56C8">
      <w:pPr>
        <w:widowControl/>
        <w:shd w:val="clear" w:color="auto" w:fill="FFFFFF"/>
        <w:wordWrap w:val="0"/>
        <w:spacing w:before="100" w:beforeAutospacing="1" w:after="100" w:afterAutospacing="1" w:line="465" w:lineRule="atLeast"/>
        <w:rPr>
          <w:rFonts w:ascii="微软雅黑" w:eastAsia="微软雅黑" w:hAnsi="微软雅黑" w:cs="宋体"/>
          <w:color w:val="323232"/>
          <w:spacing w:val="15"/>
          <w:kern w:val="0"/>
          <w:sz w:val="27"/>
          <w:szCs w:val="27"/>
        </w:rPr>
      </w:pPr>
      <w:r w:rsidRPr="007C56C8">
        <w:rPr>
          <w:rFonts w:ascii="微软雅黑" w:eastAsia="微软雅黑" w:hAnsi="微软雅黑" w:cs="宋体" w:hint="eastAsia"/>
          <w:color w:val="323232"/>
          <w:spacing w:val="15"/>
          <w:kern w:val="0"/>
          <w:sz w:val="27"/>
          <w:szCs w:val="27"/>
        </w:rPr>
        <w:lastRenderedPageBreak/>
        <w:t>期货换月价差是指</w:t>
      </w:r>
      <w:r w:rsidRPr="007C56C8">
        <w:rPr>
          <w:rFonts w:ascii="微软雅黑" w:eastAsia="微软雅黑" w:hAnsi="微软雅黑" w:cs="宋体" w:hint="eastAsia"/>
          <w:color w:val="323232"/>
          <w:spacing w:val="15"/>
          <w:kern w:val="0"/>
          <w:sz w:val="27"/>
          <w:szCs w:val="27"/>
          <w:highlight w:val="yellow"/>
        </w:rPr>
        <w:t>同一品种不同月份期货合约之间的价格差异</w:t>
      </w:r>
      <w:r w:rsidRPr="007C56C8">
        <w:rPr>
          <w:rFonts w:ascii="微软雅黑" w:eastAsia="微软雅黑" w:hAnsi="微软雅黑" w:cs="宋体" w:hint="eastAsia"/>
          <w:color w:val="323232"/>
          <w:spacing w:val="15"/>
          <w:kern w:val="0"/>
          <w:sz w:val="27"/>
          <w:szCs w:val="27"/>
        </w:rPr>
        <w:t>。那么期货换月价差大说明什么？下文为大家带来具体介绍！</w:t>
      </w:r>
    </w:p>
    <w:p w14:paraId="0AB5C841" w14:textId="30155DD5" w:rsidR="007C56C8" w:rsidRPr="007C56C8" w:rsidRDefault="007C56C8" w:rsidP="007C56C8">
      <w:pPr>
        <w:widowControl/>
        <w:shd w:val="clear" w:color="auto" w:fill="FFFFFF"/>
        <w:wordWrap w:val="0"/>
        <w:spacing w:before="100" w:beforeAutospacing="1" w:after="100" w:afterAutospacing="1" w:line="465" w:lineRule="atLeast"/>
        <w:rPr>
          <w:rFonts w:ascii="微软雅黑" w:eastAsia="微软雅黑" w:hAnsi="微软雅黑" w:cs="宋体"/>
          <w:color w:val="323232"/>
          <w:spacing w:val="15"/>
          <w:kern w:val="0"/>
          <w:sz w:val="27"/>
          <w:szCs w:val="27"/>
        </w:rPr>
      </w:pPr>
    </w:p>
    <w:p w14:paraId="7AD01F01" w14:textId="77777777" w:rsidR="007C56C8" w:rsidRPr="007C56C8" w:rsidRDefault="007C56C8" w:rsidP="007C56C8">
      <w:pPr>
        <w:widowControl/>
        <w:shd w:val="clear" w:color="auto" w:fill="FFFFFF"/>
        <w:wordWrap w:val="0"/>
        <w:spacing w:before="100" w:beforeAutospacing="1" w:after="100" w:afterAutospacing="1" w:line="465" w:lineRule="atLeast"/>
        <w:rPr>
          <w:rFonts w:ascii="微软雅黑" w:eastAsia="微软雅黑" w:hAnsi="微软雅黑" w:cs="宋体"/>
          <w:color w:val="323232"/>
          <w:spacing w:val="15"/>
          <w:kern w:val="0"/>
          <w:sz w:val="27"/>
          <w:szCs w:val="27"/>
        </w:rPr>
      </w:pPr>
      <w:r w:rsidRPr="007C56C8">
        <w:rPr>
          <w:rFonts w:ascii="微软雅黑" w:eastAsia="微软雅黑" w:hAnsi="微软雅黑" w:cs="宋体" w:hint="eastAsia"/>
          <w:color w:val="323232"/>
          <w:spacing w:val="15"/>
          <w:kern w:val="0"/>
          <w:sz w:val="27"/>
          <w:szCs w:val="27"/>
        </w:rPr>
        <w:t>期货换月价差大说明什么？</w:t>
      </w:r>
    </w:p>
    <w:p w14:paraId="1D426ED0" w14:textId="77777777" w:rsidR="007C56C8" w:rsidRDefault="007C56C8" w:rsidP="007C56C8">
      <w:pPr>
        <w:widowControl/>
        <w:shd w:val="clear" w:color="auto" w:fill="FFFFFF"/>
        <w:wordWrap w:val="0"/>
        <w:spacing w:before="100" w:beforeAutospacing="1" w:after="100" w:afterAutospacing="1" w:line="465" w:lineRule="atLeast"/>
        <w:rPr>
          <w:rFonts w:ascii="微软雅黑" w:eastAsia="微软雅黑" w:hAnsi="微软雅黑" w:cs="宋体"/>
          <w:color w:val="323232"/>
          <w:spacing w:val="15"/>
          <w:kern w:val="0"/>
          <w:sz w:val="27"/>
          <w:szCs w:val="27"/>
        </w:rPr>
      </w:pPr>
      <w:r w:rsidRPr="007C56C8">
        <w:rPr>
          <w:rFonts w:ascii="微软雅黑" w:eastAsia="微软雅黑" w:hAnsi="微软雅黑" w:cs="宋体" w:hint="eastAsia"/>
          <w:color w:val="323232"/>
          <w:spacing w:val="15"/>
          <w:kern w:val="0"/>
          <w:sz w:val="27"/>
          <w:szCs w:val="27"/>
        </w:rPr>
        <w:t>当期货换月价差大时，代表着</w:t>
      </w:r>
      <w:r w:rsidRPr="007C56C8">
        <w:rPr>
          <w:rFonts w:ascii="微软雅黑" w:eastAsia="微软雅黑" w:hAnsi="微软雅黑" w:cs="宋体" w:hint="eastAsia"/>
          <w:color w:val="323232"/>
          <w:spacing w:val="15"/>
          <w:kern w:val="0"/>
          <w:sz w:val="27"/>
          <w:szCs w:val="27"/>
          <w:highlight w:val="yellow"/>
        </w:rPr>
        <w:t>不同交割月份</w:t>
      </w:r>
      <w:r w:rsidRPr="007C56C8">
        <w:rPr>
          <w:rFonts w:ascii="微软雅黑" w:eastAsia="微软雅黑" w:hAnsi="微软雅黑" w:cs="宋体" w:hint="eastAsia"/>
          <w:color w:val="323232"/>
          <w:spacing w:val="15"/>
          <w:kern w:val="0"/>
          <w:sz w:val="27"/>
          <w:szCs w:val="27"/>
        </w:rPr>
        <w:t>的期货合约之间价格差异较大，这可能反映出市场的</w:t>
      </w:r>
      <w:r w:rsidRPr="007C56C8">
        <w:rPr>
          <w:rFonts w:ascii="微软雅黑" w:eastAsia="微软雅黑" w:hAnsi="微软雅黑" w:cs="宋体" w:hint="eastAsia"/>
          <w:color w:val="323232"/>
          <w:spacing w:val="15"/>
          <w:kern w:val="0"/>
          <w:sz w:val="27"/>
          <w:szCs w:val="27"/>
          <w:highlight w:val="yellow"/>
        </w:rPr>
        <w:t>供需变化、库存变化、季节性需求</w:t>
      </w:r>
      <w:r w:rsidRPr="007C56C8">
        <w:rPr>
          <w:rFonts w:ascii="微软雅黑" w:eastAsia="微软雅黑" w:hAnsi="微软雅黑" w:cs="宋体" w:hint="eastAsia"/>
          <w:color w:val="323232"/>
          <w:spacing w:val="15"/>
          <w:kern w:val="0"/>
          <w:sz w:val="27"/>
          <w:szCs w:val="27"/>
        </w:rPr>
        <w:t>等因素的影响。</w:t>
      </w:r>
      <w:r w:rsidRPr="007C56C8">
        <w:rPr>
          <w:rFonts w:ascii="微软雅黑" w:eastAsia="微软雅黑" w:hAnsi="微软雅黑" w:cs="宋体" w:hint="eastAsia"/>
          <w:color w:val="323232"/>
          <w:spacing w:val="15"/>
          <w:kern w:val="0"/>
          <w:sz w:val="27"/>
          <w:szCs w:val="27"/>
        </w:rPr>
        <w:br/>
        <w:t>一般来说，当期货换月价差大时，投资者可以从以下两个方面进行分析：</w:t>
      </w:r>
      <w:r w:rsidRPr="007C56C8">
        <w:rPr>
          <w:rFonts w:ascii="微软雅黑" w:eastAsia="微软雅黑" w:hAnsi="微软雅黑" w:cs="宋体" w:hint="eastAsia"/>
          <w:color w:val="323232"/>
          <w:spacing w:val="15"/>
          <w:kern w:val="0"/>
          <w:sz w:val="27"/>
          <w:szCs w:val="27"/>
        </w:rPr>
        <w:br/>
        <w:t>1、</w:t>
      </w:r>
      <w:r w:rsidRPr="007C56C8">
        <w:rPr>
          <w:rFonts w:ascii="微软雅黑" w:eastAsia="微软雅黑" w:hAnsi="微软雅黑" w:cs="宋体" w:hint="eastAsia"/>
          <w:color w:val="323232"/>
          <w:spacing w:val="15"/>
          <w:kern w:val="0"/>
          <w:sz w:val="27"/>
          <w:szCs w:val="27"/>
          <w:highlight w:val="yellow"/>
        </w:rPr>
        <w:t>市场供需变化</w:t>
      </w:r>
      <w:r w:rsidRPr="007C56C8">
        <w:rPr>
          <w:rFonts w:ascii="微软雅黑" w:eastAsia="微软雅黑" w:hAnsi="微软雅黑" w:cs="宋体" w:hint="eastAsia"/>
          <w:color w:val="323232"/>
          <w:spacing w:val="15"/>
          <w:kern w:val="0"/>
          <w:sz w:val="27"/>
          <w:szCs w:val="27"/>
        </w:rPr>
        <w:t>：期货换月价差大的原因之一可能是市场供需变化所致。例如，当</w:t>
      </w:r>
      <w:r w:rsidRPr="007C56C8">
        <w:rPr>
          <w:rFonts w:ascii="微软雅黑" w:eastAsia="微软雅黑" w:hAnsi="微软雅黑" w:cs="宋体" w:hint="eastAsia"/>
          <w:color w:val="323232"/>
          <w:spacing w:val="15"/>
          <w:kern w:val="0"/>
          <w:sz w:val="27"/>
          <w:szCs w:val="27"/>
          <w:highlight w:val="yellow"/>
        </w:rPr>
        <w:t>市场供应充足，需求不足</w:t>
      </w:r>
      <w:r w:rsidRPr="007C56C8">
        <w:rPr>
          <w:rFonts w:ascii="微软雅黑" w:eastAsia="微软雅黑" w:hAnsi="微软雅黑" w:cs="宋体" w:hint="eastAsia"/>
          <w:color w:val="323232"/>
          <w:spacing w:val="15"/>
          <w:kern w:val="0"/>
          <w:sz w:val="27"/>
          <w:szCs w:val="27"/>
        </w:rPr>
        <w:t>时，当前月份的期货合约价格可能会</w:t>
      </w:r>
      <w:r w:rsidRPr="007C56C8">
        <w:rPr>
          <w:rFonts w:ascii="微软雅黑" w:eastAsia="微软雅黑" w:hAnsi="微软雅黑" w:cs="宋体" w:hint="eastAsia"/>
          <w:color w:val="323232"/>
          <w:spacing w:val="15"/>
          <w:kern w:val="0"/>
          <w:sz w:val="27"/>
          <w:szCs w:val="27"/>
          <w:highlight w:val="yellow"/>
        </w:rPr>
        <w:t>下跌</w:t>
      </w:r>
      <w:r w:rsidRPr="007C56C8">
        <w:rPr>
          <w:rFonts w:ascii="微软雅黑" w:eastAsia="微软雅黑" w:hAnsi="微软雅黑" w:cs="宋体" w:hint="eastAsia"/>
          <w:color w:val="323232"/>
          <w:spacing w:val="15"/>
          <w:kern w:val="0"/>
          <w:sz w:val="27"/>
          <w:szCs w:val="27"/>
        </w:rPr>
        <w:t>，而后面月份的期货合约价格可能相对较高，因此当前月份合约价格与后面月份的期货合约价格之间的价差会扩大。</w:t>
      </w:r>
      <w:r w:rsidRPr="007C56C8">
        <w:rPr>
          <w:rFonts w:ascii="微软雅黑" w:eastAsia="微软雅黑" w:hAnsi="微软雅黑" w:cs="宋体" w:hint="eastAsia"/>
          <w:color w:val="323232"/>
          <w:spacing w:val="15"/>
          <w:kern w:val="0"/>
          <w:sz w:val="27"/>
          <w:szCs w:val="27"/>
        </w:rPr>
        <w:br/>
        <w:t>2、</w:t>
      </w:r>
      <w:r w:rsidRPr="007C56C8">
        <w:rPr>
          <w:rFonts w:ascii="微软雅黑" w:eastAsia="微软雅黑" w:hAnsi="微软雅黑" w:cs="宋体" w:hint="eastAsia"/>
          <w:color w:val="323232"/>
          <w:spacing w:val="15"/>
          <w:kern w:val="0"/>
          <w:sz w:val="27"/>
          <w:szCs w:val="27"/>
          <w:highlight w:val="yellow"/>
        </w:rPr>
        <w:t>交割期限影响</w:t>
      </w:r>
      <w:r w:rsidRPr="007C56C8">
        <w:rPr>
          <w:rFonts w:ascii="微软雅黑" w:eastAsia="微软雅黑" w:hAnsi="微软雅黑" w:cs="宋体" w:hint="eastAsia"/>
          <w:color w:val="323232"/>
          <w:spacing w:val="15"/>
          <w:kern w:val="0"/>
          <w:sz w:val="27"/>
          <w:szCs w:val="27"/>
        </w:rPr>
        <w:t>：期货换月价差大的原因之二可能是交割期限的影响所致。例如，当距离当前月份的期货合约交割日越近时，投资者可能会</w:t>
      </w:r>
      <w:r w:rsidRPr="007C56C8">
        <w:rPr>
          <w:rFonts w:ascii="微软雅黑" w:eastAsia="微软雅黑" w:hAnsi="微软雅黑" w:cs="宋体" w:hint="eastAsia"/>
          <w:color w:val="323232"/>
          <w:spacing w:val="15"/>
          <w:kern w:val="0"/>
          <w:sz w:val="27"/>
          <w:szCs w:val="27"/>
          <w:highlight w:val="yellow"/>
        </w:rPr>
        <w:t>主动</w:t>
      </w:r>
      <w:r w:rsidRPr="007C56C8">
        <w:rPr>
          <w:rFonts w:ascii="微软雅黑" w:eastAsia="微软雅黑" w:hAnsi="微软雅黑" w:cs="宋体" w:hint="eastAsia"/>
          <w:color w:val="323232"/>
          <w:spacing w:val="15"/>
          <w:kern w:val="0"/>
          <w:sz w:val="27"/>
          <w:szCs w:val="27"/>
        </w:rPr>
        <w:t>选择将头寸</w:t>
      </w:r>
      <w:r w:rsidRPr="007C56C8">
        <w:rPr>
          <w:rFonts w:ascii="微软雅黑" w:eastAsia="微软雅黑" w:hAnsi="微软雅黑" w:cs="宋体" w:hint="eastAsia"/>
          <w:color w:val="323232"/>
          <w:spacing w:val="15"/>
          <w:kern w:val="0"/>
          <w:sz w:val="27"/>
          <w:szCs w:val="27"/>
          <w:highlight w:val="yellow"/>
        </w:rPr>
        <w:t>平仓</w:t>
      </w:r>
      <w:r w:rsidRPr="007C56C8">
        <w:rPr>
          <w:rFonts w:ascii="微软雅黑" w:eastAsia="微软雅黑" w:hAnsi="微软雅黑" w:cs="宋体" w:hint="eastAsia"/>
          <w:color w:val="323232"/>
          <w:spacing w:val="15"/>
          <w:kern w:val="0"/>
          <w:sz w:val="27"/>
          <w:szCs w:val="27"/>
        </w:rPr>
        <w:t>，转而</w:t>
      </w:r>
      <w:r w:rsidRPr="007C56C8">
        <w:rPr>
          <w:rFonts w:ascii="微软雅黑" w:eastAsia="微软雅黑" w:hAnsi="微软雅黑" w:cs="宋体" w:hint="eastAsia"/>
          <w:color w:val="323232"/>
          <w:spacing w:val="15"/>
          <w:kern w:val="0"/>
          <w:sz w:val="27"/>
          <w:szCs w:val="27"/>
          <w:highlight w:val="yellow"/>
        </w:rPr>
        <w:t>买入后面月份</w:t>
      </w:r>
      <w:r w:rsidRPr="007C56C8">
        <w:rPr>
          <w:rFonts w:ascii="微软雅黑" w:eastAsia="微软雅黑" w:hAnsi="微软雅黑" w:cs="宋体" w:hint="eastAsia"/>
          <w:color w:val="323232"/>
          <w:spacing w:val="15"/>
          <w:kern w:val="0"/>
          <w:sz w:val="27"/>
          <w:szCs w:val="27"/>
        </w:rPr>
        <w:t>的期货合约，以</w:t>
      </w:r>
      <w:r w:rsidRPr="007C56C8">
        <w:rPr>
          <w:rFonts w:ascii="微软雅黑" w:eastAsia="微软雅黑" w:hAnsi="微软雅黑" w:cs="宋体" w:hint="eastAsia"/>
          <w:color w:val="323232"/>
          <w:spacing w:val="15"/>
          <w:kern w:val="0"/>
          <w:sz w:val="27"/>
          <w:szCs w:val="27"/>
          <w:highlight w:val="yellow"/>
        </w:rPr>
        <w:t>避免实物交割带来的风险和成本</w:t>
      </w:r>
      <w:r w:rsidRPr="007C56C8">
        <w:rPr>
          <w:rFonts w:ascii="微软雅黑" w:eastAsia="微软雅黑" w:hAnsi="微软雅黑" w:cs="宋体" w:hint="eastAsia"/>
          <w:color w:val="323232"/>
          <w:spacing w:val="15"/>
          <w:kern w:val="0"/>
          <w:sz w:val="27"/>
          <w:szCs w:val="27"/>
        </w:rPr>
        <w:t>，从而导致</w:t>
      </w:r>
      <w:r w:rsidRPr="007C56C8">
        <w:rPr>
          <w:rFonts w:ascii="微软雅黑" w:eastAsia="微软雅黑" w:hAnsi="微软雅黑" w:cs="宋体" w:hint="eastAsia"/>
          <w:color w:val="323232"/>
          <w:spacing w:val="15"/>
          <w:kern w:val="0"/>
          <w:sz w:val="27"/>
          <w:szCs w:val="27"/>
          <w:highlight w:val="yellow"/>
        </w:rPr>
        <w:t>当前月份合约价格下跌</w:t>
      </w:r>
      <w:r w:rsidRPr="007C56C8">
        <w:rPr>
          <w:rFonts w:ascii="微软雅黑" w:eastAsia="微软雅黑" w:hAnsi="微软雅黑" w:cs="宋体" w:hint="eastAsia"/>
          <w:color w:val="323232"/>
          <w:spacing w:val="15"/>
          <w:kern w:val="0"/>
          <w:sz w:val="27"/>
          <w:szCs w:val="27"/>
        </w:rPr>
        <w:t>，</w:t>
      </w:r>
      <w:r w:rsidRPr="007C56C8">
        <w:rPr>
          <w:rFonts w:ascii="微软雅黑" w:eastAsia="微软雅黑" w:hAnsi="微软雅黑" w:cs="宋体" w:hint="eastAsia"/>
          <w:color w:val="323232"/>
          <w:spacing w:val="15"/>
          <w:kern w:val="0"/>
          <w:sz w:val="27"/>
          <w:szCs w:val="27"/>
          <w:highlight w:val="yellow"/>
        </w:rPr>
        <w:t>后面月份合约价格相对上升</w:t>
      </w:r>
      <w:r w:rsidRPr="007C56C8">
        <w:rPr>
          <w:rFonts w:ascii="微软雅黑" w:eastAsia="微软雅黑" w:hAnsi="微软雅黑" w:cs="宋体" w:hint="eastAsia"/>
          <w:color w:val="323232"/>
          <w:spacing w:val="15"/>
          <w:kern w:val="0"/>
          <w:sz w:val="27"/>
          <w:szCs w:val="27"/>
        </w:rPr>
        <w:t>，因此当前月份合约价格与后面月份的期货合约价格之间的价差会扩大。</w:t>
      </w:r>
    </w:p>
    <w:p w14:paraId="26CEE2F5" w14:textId="04FD83FA" w:rsidR="008135B3" w:rsidRDefault="008135B3" w:rsidP="007C56C8">
      <w:pPr>
        <w:widowControl/>
        <w:shd w:val="clear" w:color="auto" w:fill="FFFFFF"/>
        <w:wordWrap w:val="0"/>
        <w:spacing w:before="100" w:beforeAutospacing="1" w:after="100" w:afterAutospacing="1" w:line="465" w:lineRule="atLeast"/>
        <w:rPr>
          <w:rFonts w:ascii="微软雅黑" w:eastAsia="微软雅黑" w:hAnsi="微软雅黑" w:cs="宋体"/>
          <w:color w:val="323232"/>
          <w:spacing w:val="15"/>
          <w:kern w:val="0"/>
          <w:sz w:val="27"/>
          <w:szCs w:val="27"/>
        </w:rPr>
      </w:pPr>
      <w:r>
        <w:rPr>
          <w:rFonts w:ascii="微软雅黑" w:eastAsia="微软雅黑" w:hAnsi="微软雅黑" w:cs="宋体" w:hint="eastAsia"/>
          <w:color w:val="323232"/>
          <w:spacing w:val="15"/>
          <w:kern w:val="0"/>
          <w:sz w:val="27"/>
          <w:szCs w:val="27"/>
        </w:rPr>
        <w:lastRenderedPageBreak/>
        <w:t>期货平仓</w:t>
      </w:r>
    </w:p>
    <w:p w14:paraId="373442D3" w14:textId="77777777" w:rsidR="008135B3" w:rsidRDefault="008135B3" w:rsidP="008135B3">
      <w:pPr>
        <w:pStyle w:val="a7"/>
        <w:shd w:val="clear" w:color="auto" w:fill="FFFFFF"/>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平仓是指期货交易者</w:t>
      </w:r>
      <w:r w:rsidRPr="008135B3">
        <w:rPr>
          <w:rFonts w:ascii="微软雅黑" w:eastAsia="微软雅黑" w:hAnsi="微软雅黑" w:hint="eastAsia"/>
          <w:color w:val="333333"/>
          <w:highlight w:val="yellow"/>
        </w:rPr>
        <w:t>买入或卖出</w:t>
      </w:r>
      <w:r>
        <w:rPr>
          <w:rFonts w:ascii="微软雅黑" w:eastAsia="微软雅黑" w:hAnsi="微软雅黑" w:hint="eastAsia"/>
          <w:color w:val="333333"/>
        </w:rPr>
        <w:t>与其所持期货合约的</w:t>
      </w:r>
      <w:r w:rsidRPr="008135B3">
        <w:rPr>
          <w:rFonts w:ascii="微软雅黑" w:eastAsia="微软雅黑" w:hAnsi="微软雅黑" w:hint="eastAsia"/>
          <w:color w:val="333333"/>
          <w:highlight w:val="yellow"/>
        </w:rPr>
        <w:t>品种代码、数量及交割月份相同</w:t>
      </w:r>
      <w:r>
        <w:rPr>
          <w:rFonts w:ascii="微软雅黑" w:eastAsia="微软雅黑" w:hAnsi="微软雅黑" w:hint="eastAsia"/>
          <w:color w:val="333333"/>
        </w:rPr>
        <w:t>但</w:t>
      </w:r>
      <w:r w:rsidRPr="008135B3">
        <w:rPr>
          <w:rFonts w:ascii="微软雅黑" w:eastAsia="微软雅黑" w:hAnsi="微软雅黑" w:hint="eastAsia"/>
          <w:color w:val="333333"/>
          <w:highlight w:val="yellow"/>
        </w:rPr>
        <w:t>交易方向相反</w:t>
      </w:r>
      <w:r>
        <w:rPr>
          <w:rFonts w:ascii="微软雅黑" w:eastAsia="微软雅黑" w:hAnsi="微软雅黑" w:hint="eastAsia"/>
          <w:color w:val="333333"/>
        </w:rPr>
        <w:t>的期货合约，了结头寸的行为。期货平仓即在期货交易的过程中通过一笔</w:t>
      </w:r>
      <w:r w:rsidRPr="007E5326">
        <w:rPr>
          <w:rFonts w:ascii="微软雅黑" w:eastAsia="微软雅黑" w:hAnsi="微软雅黑" w:hint="eastAsia"/>
          <w:color w:val="333333"/>
          <w:highlight w:val="yellow"/>
        </w:rPr>
        <w:t>数量相等、方向相反</w:t>
      </w:r>
      <w:r>
        <w:rPr>
          <w:rFonts w:ascii="微软雅黑" w:eastAsia="微软雅黑" w:hAnsi="微软雅黑" w:hint="eastAsia"/>
          <w:color w:val="333333"/>
        </w:rPr>
        <w:t>的期货交易来冲销原有的期货合约，以此了结期货交易，</w:t>
      </w:r>
      <w:r w:rsidRPr="007E5326">
        <w:rPr>
          <w:rFonts w:ascii="微软雅黑" w:eastAsia="微软雅黑" w:hAnsi="微软雅黑" w:hint="eastAsia"/>
          <w:color w:val="333333"/>
          <w:highlight w:val="yellow"/>
        </w:rPr>
        <w:t>解除到期进行实物交割的义务</w:t>
      </w:r>
      <w:r>
        <w:rPr>
          <w:rFonts w:ascii="微软雅黑" w:eastAsia="微软雅黑" w:hAnsi="微软雅黑" w:hint="eastAsia"/>
          <w:color w:val="333333"/>
        </w:rPr>
        <w:t>。</w:t>
      </w:r>
    </w:p>
    <w:p w14:paraId="28E2BEC6" w14:textId="0CBCCDE3" w:rsidR="007C56C8" w:rsidRPr="008135B3" w:rsidRDefault="008135B3" w:rsidP="008135B3">
      <w:pPr>
        <w:pStyle w:val="a7"/>
        <w:shd w:val="clear" w:color="auto" w:fill="FFFFFF"/>
        <w:spacing w:before="0" w:beforeAutospacing="0" w:after="0" w:afterAutospacing="0" w:line="450" w:lineRule="atLeast"/>
        <w:rPr>
          <w:rFonts w:ascii="微软雅黑" w:eastAsia="微软雅黑" w:hAnsi="微软雅黑"/>
          <w:color w:val="333333"/>
        </w:rPr>
      </w:pPr>
      <w:r>
        <w:rPr>
          <w:rFonts w:ascii="微软雅黑" w:eastAsia="微软雅黑" w:hAnsi="微软雅黑" w:hint="eastAsia"/>
          <w:color w:val="333333"/>
        </w:rPr>
        <w:t>期货交易中的平仓相当于股票交易中的卖出。由于期货交易具有</w:t>
      </w:r>
      <w:r w:rsidRPr="007D63F5">
        <w:rPr>
          <w:rFonts w:ascii="微软雅黑" w:eastAsia="微软雅黑" w:hAnsi="微软雅黑" w:hint="eastAsia"/>
          <w:color w:val="333333"/>
          <w:highlight w:val="yellow"/>
        </w:rPr>
        <w:t>双向交易机制</w:t>
      </w:r>
      <w:r>
        <w:rPr>
          <w:rFonts w:ascii="微软雅黑" w:eastAsia="微软雅黑" w:hAnsi="微软雅黑" w:hint="eastAsia"/>
          <w:color w:val="333333"/>
        </w:rPr>
        <w:t>，与开仓相对应，平仓也有</w:t>
      </w:r>
      <w:r w:rsidRPr="007D63F5">
        <w:rPr>
          <w:rFonts w:ascii="微软雅黑" w:eastAsia="微软雅黑" w:hAnsi="微软雅黑" w:hint="eastAsia"/>
          <w:color w:val="333333"/>
          <w:highlight w:val="yellow"/>
        </w:rPr>
        <w:t>买入平仓</w:t>
      </w:r>
      <w:r>
        <w:rPr>
          <w:rFonts w:ascii="微软雅黑" w:eastAsia="微软雅黑" w:hAnsi="微软雅黑" w:hint="eastAsia"/>
          <w:color w:val="333333"/>
        </w:rPr>
        <w:t>和</w:t>
      </w:r>
      <w:r w:rsidRPr="007D63F5">
        <w:rPr>
          <w:rFonts w:ascii="微软雅黑" w:eastAsia="微软雅黑" w:hAnsi="微软雅黑" w:hint="eastAsia"/>
          <w:color w:val="333333"/>
          <w:highlight w:val="yellow"/>
        </w:rPr>
        <w:t>卖出平仓</w:t>
      </w:r>
      <w:r>
        <w:rPr>
          <w:rFonts w:ascii="微软雅黑" w:eastAsia="微软雅黑" w:hAnsi="微软雅黑" w:hint="eastAsia"/>
          <w:color w:val="333333"/>
        </w:rPr>
        <w:t>两种类型。</w:t>
      </w:r>
    </w:p>
    <w:sectPr w:rsidR="007C56C8" w:rsidRPr="008135B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9-06T09:37:00Z" w:initials="科林">
    <w:p w14:paraId="2E92FB3D" w14:textId="77777777" w:rsidR="003D1687" w:rsidRDefault="003D1687">
      <w:pPr>
        <w:pStyle w:val="ab"/>
      </w:pPr>
      <w:r>
        <w:rPr>
          <w:rStyle w:val="aa"/>
        </w:rPr>
        <w:annotationRef/>
      </w:r>
      <w:r>
        <w:t>问题：</w:t>
      </w:r>
    </w:p>
    <w:p w14:paraId="594F0485" w14:textId="77777777" w:rsidR="003D1687" w:rsidRDefault="003D1687" w:rsidP="003A6B0A">
      <w:pPr>
        <w:pStyle w:val="ab"/>
      </w:pPr>
      <w:r>
        <w:t>SPAN和VaR的区别是什么？</w:t>
      </w:r>
    </w:p>
  </w:comment>
  <w:comment w:id="1" w:author="科 林" w:date="2023-09-06T09:36:00Z" w:initials="科林">
    <w:p w14:paraId="6124D9B1" w14:textId="0A8C0331" w:rsidR="003D1687" w:rsidRDefault="003D1687" w:rsidP="00A5428C">
      <w:pPr>
        <w:pStyle w:val="ab"/>
      </w:pPr>
      <w:r>
        <w:rPr>
          <w:rStyle w:val="aa"/>
        </w:rPr>
        <w:annotationRef/>
      </w:r>
      <w:r>
        <w:t>说明上海期货交易所是非常认可SPAN的</w:t>
      </w:r>
    </w:p>
  </w:comment>
  <w:comment w:id="2" w:author="科 林" w:date="2023-09-06T09:44:00Z" w:initials="科林">
    <w:p w14:paraId="0F2886CE" w14:textId="77777777" w:rsidR="006F178F" w:rsidRDefault="006F178F" w:rsidP="008A577D">
      <w:pPr>
        <w:pStyle w:val="ab"/>
      </w:pPr>
      <w:r>
        <w:rPr>
          <w:rStyle w:val="aa"/>
        </w:rPr>
        <w:annotationRef/>
      </w:r>
      <w:r>
        <w:t>第4条、第5条实际上就明确了SPAN系统是专门针对期货合约的，是专门用来计算保证金的</w:t>
      </w:r>
    </w:p>
  </w:comment>
  <w:comment w:id="3" w:author="科 林" w:date="2023-09-06T09:47:00Z" w:initials="科林">
    <w:p w14:paraId="699C3C40" w14:textId="77777777" w:rsidR="003E469B" w:rsidRDefault="003E469B" w:rsidP="005843C8">
      <w:pPr>
        <w:pStyle w:val="ab"/>
      </w:pPr>
      <w:r>
        <w:rPr>
          <w:rStyle w:val="aa"/>
        </w:rPr>
        <w:annotationRef/>
      </w:r>
      <w:r>
        <w:t>投资组合--》商品群--》商品组合</w:t>
      </w:r>
    </w:p>
  </w:comment>
  <w:comment w:id="4" w:author="科 林" w:date="2023-09-06T09:53:00Z" w:initials="科林">
    <w:p w14:paraId="602916FA" w14:textId="77777777" w:rsidR="00027703" w:rsidRDefault="00027703">
      <w:pPr>
        <w:pStyle w:val="ab"/>
      </w:pPr>
      <w:r>
        <w:rPr>
          <w:rStyle w:val="aa"/>
        </w:rPr>
        <w:annotationRef/>
      </w:r>
      <w:r>
        <w:t>笔记：</w:t>
      </w:r>
    </w:p>
    <w:p w14:paraId="23634BAA" w14:textId="77777777" w:rsidR="00027703" w:rsidRDefault="00027703">
      <w:pPr>
        <w:pStyle w:val="ab"/>
      </w:pPr>
      <w:r>
        <w:t>不管是买期还是卖期，都可以根据行权价和现价计算出期权净值，有可能赚，有可能亏。赚就是正数，亏就是负数。</w:t>
      </w:r>
    </w:p>
    <w:p w14:paraId="7CA51450" w14:textId="77777777" w:rsidR="00027703" w:rsidRDefault="00027703" w:rsidP="00FD2292">
      <w:pPr>
        <w:pStyle w:val="ab"/>
      </w:pPr>
      <w:r>
        <w:t>计算的时候应该要把权利金考虑在内。</w:t>
      </w:r>
    </w:p>
  </w:comment>
  <w:comment w:id="5" w:author="科 林" w:date="2023-09-06T09:50:00Z" w:initials="科林">
    <w:p w14:paraId="72D142C4" w14:textId="31F688F1" w:rsidR="008C5047" w:rsidRDefault="008C5047" w:rsidP="00C52BD4">
      <w:pPr>
        <w:pStyle w:val="ab"/>
      </w:pPr>
      <w:r>
        <w:rPr>
          <w:rStyle w:val="aa"/>
        </w:rPr>
        <w:annotationRef/>
      </w:r>
      <w:r>
        <w:t>保证金=投资组合的风险值-期权净值</w:t>
      </w:r>
    </w:p>
  </w:comment>
  <w:comment w:id="6" w:author="科 林" w:date="2023-09-06T10:00:00Z" w:initials="科林">
    <w:p w14:paraId="4D4ADB31" w14:textId="77777777" w:rsidR="00F81230" w:rsidRDefault="00F81230">
      <w:pPr>
        <w:pStyle w:val="ab"/>
      </w:pPr>
      <w:r>
        <w:rPr>
          <w:rStyle w:val="aa"/>
        </w:rPr>
        <w:annotationRef/>
      </w:r>
      <w:r>
        <w:t>先加总，再扣除</w:t>
      </w:r>
    </w:p>
    <w:p w14:paraId="4BC7D4A5" w14:textId="77777777" w:rsidR="00F81230" w:rsidRDefault="00F81230">
      <w:pPr>
        <w:pStyle w:val="ab"/>
      </w:pPr>
      <w:r>
        <w:t>问题：</w:t>
      </w:r>
    </w:p>
    <w:p w14:paraId="4C35A2B8" w14:textId="77777777" w:rsidR="00F81230" w:rsidRDefault="00F81230">
      <w:pPr>
        <w:pStyle w:val="ab"/>
      </w:pPr>
      <w:r>
        <w:t>1.商品组合间的价差抵扣是什么意思？</w:t>
      </w:r>
    </w:p>
    <w:p w14:paraId="5D9668E3" w14:textId="77777777" w:rsidR="00F81230" w:rsidRDefault="00F81230" w:rsidP="00A4120A">
      <w:pPr>
        <w:pStyle w:val="ab"/>
      </w:pPr>
      <w:r>
        <w:t>2.为什么要和期权空头的最低风险比较？期权空头指的是期权卖方，卖期，那具体是卖call期权还是put期权呢？</w:t>
      </w:r>
    </w:p>
  </w:comment>
  <w:comment w:id="7" w:author="科 林" w:date="2023-09-06T10:03:00Z" w:initials="科林">
    <w:p w14:paraId="1E851AE0" w14:textId="77777777" w:rsidR="00863081" w:rsidRDefault="00863081">
      <w:pPr>
        <w:pStyle w:val="ab"/>
      </w:pPr>
      <w:r>
        <w:rPr>
          <w:rStyle w:val="aa"/>
        </w:rPr>
        <w:annotationRef/>
      </w:r>
      <w:r>
        <w:t>问题：</w:t>
      </w:r>
    </w:p>
    <w:p w14:paraId="7CAE0B84" w14:textId="77777777" w:rsidR="00863081" w:rsidRDefault="00863081" w:rsidP="00225592">
      <w:pPr>
        <w:pStyle w:val="ab"/>
      </w:pPr>
      <w:r>
        <w:t>此处的抵扣指的是什么？</w:t>
      </w:r>
    </w:p>
  </w:comment>
  <w:comment w:id="8" w:author="科 林" w:date="2023-09-06T10:05:00Z" w:initials="科林">
    <w:p w14:paraId="6205F154" w14:textId="77777777" w:rsidR="00BB0EBF" w:rsidRDefault="00BB0EBF">
      <w:pPr>
        <w:pStyle w:val="ab"/>
      </w:pPr>
      <w:r>
        <w:rPr>
          <w:rStyle w:val="aa"/>
        </w:rPr>
        <w:annotationRef/>
      </w:r>
      <w:r>
        <w:t>问题：</w:t>
      </w:r>
    </w:p>
    <w:p w14:paraId="663BBCC5" w14:textId="77777777" w:rsidR="00BB0EBF" w:rsidRDefault="00BB0EBF" w:rsidP="00D6398C">
      <w:pPr>
        <w:pStyle w:val="ab"/>
      </w:pPr>
      <w:r>
        <w:t>期权空头最低风险是指什么？</w:t>
      </w:r>
    </w:p>
  </w:comment>
  <w:comment w:id="9" w:author="科 林" w:date="2023-09-06T10:16:00Z" w:initials="科林">
    <w:p w14:paraId="0B3FC2F0" w14:textId="77777777" w:rsidR="00EA7411" w:rsidRDefault="00EA7411" w:rsidP="007D4EA3">
      <w:pPr>
        <w:pStyle w:val="ab"/>
      </w:pPr>
      <w:r>
        <w:rPr>
          <w:rStyle w:val="aa"/>
        </w:rPr>
        <w:annotationRef/>
      </w:r>
      <w:r>
        <w:t>高峰厚尾是什么意思？</w:t>
      </w:r>
    </w:p>
  </w:comment>
  <w:comment w:id="10" w:author="科 林" w:date="2023-09-06T10:34:00Z" w:initials="科林">
    <w:p w14:paraId="35CFEB52" w14:textId="77777777" w:rsidR="0056794B" w:rsidRDefault="00FA13C4">
      <w:pPr>
        <w:pStyle w:val="ab"/>
      </w:pPr>
      <w:r>
        <w:rPr>
          <w:rStyle w:val="aa"/>
        </w:rPr>
        <w:annotationRef/>
      </w:r>
      <w:r w:rsidR="0056794B">
        <w:t>流程：</w:t>
      </w:r>
    </w:p>
    <w:p w14:paraId="0483755F" w14:textId="77777777" w:rsidR="0056794B" w:rsidRDefault="0056794B">
      <w:pPr>
        <w:pStyle w:val="ab"/>
      </w:pPr>
      <w:r>
        <w:t>1.先绘制标的资产价格分布曲线</w:t>
      </w:r>
    </w:p>
    <w:p w14:paraId="7E92EDAD" w14:textId="77777777" w:rsidR="0056794B" w:rsidRDefault="0056794B" w:rsidP="00E7669B">
      <w:pPr>
        <w:pStyle w:val="ab"/>
      </w:pPr>
      <w:r>
        <w:t>2.模拟16种市场情形，计算价格的波动范围，即价格扫描区间参数。每天计算一次。</w:t>
      </w:r>
    </w:p>
  </w:comment>
  <w:comment w:id="11" w:author="科 林" w:date="2023-09-06T10:43:00Z" w:initials="科林">
    <w:p w14:paraId="2727A609" w14:textId="77777777" w:rsidR="0056794B" w:rsidRDefault="0056794B">
      <w:pPr>
        <w:pStyle w:val="ab"/>
      </w:pPr>
      <w:r>
        <w:rPr>
          <w:rStyle w:val="aa"/>
        </w:rPr>
        <w:annotationRef/>
      </w:r>
      <w:r>
        <w:t>流程：</w:t>
      </w:r>
    </w:p>
    <w:p w14:paraId="3719745F" w14:textId="77777777" w:rsidR="0056794B" w:rsidRDefault="0056794B">
      <w:pPr>
        <w:pStyle w:val="ab"/>
      </w:pPr>
      <w:r>
        <w:t>1.先绘制标的资产价格波动率分布曲线</w:t>
      </w:r>
    </w:p>
    <w:p w14:paraId="19BC1CDC" w14:textId="77777777" w:rsidR="0056794B" w:rsidRDefault="0056794B" w:rsidP="00B51B97">
      <w:pPr>
        <w:pStyle w:val="ab"/>
      </w:pPr>
      <w:r>
        <w:t>2.模拟16种市场情形，计算价格波动率的波动范围，即价格波动率扫描区间参数。每天计算一次。</w:t>
      </w:r>
    </w:p>
  </w:comment>
  <w:comment w:id="12" w:author="科 林" w:date="2023-09-06T11:34:00Z" w:initials="科林">
    <w:p w14:paraId="5D68928E" w14:textId="77777777" w:rsidR="00890647" w:rsidRDefault="0047505F" w:rsidP="007838CB">
      <w:pPr>
        <w:pStyle w:val="ab"/>
      </w:pPr>
      <w:r>
        <w:rPr>
          <w:rStyle w:val="aa"/>
        </w:rPr>
        <w:annotationRef/>
      </w:r>
      <w:r w:rsidR="00890647">
        <w:rPr>
          <w:color w:val="000000"/>
          <w:highlight w:val="white"/>
        </w:rPr>
        <w:t>为防止实物交割可能出现的违约风险，交易保证金比率一般随着交割临近而提高。</w:t>
      </w:r>
      <w:r w:rsidR="00890647">
        <w:t xml:space="preserve"> </w:t>
      </w:r>
    </w:p>
  </w:comment>
  <w:comment w:id="13" w:author="科 林" w:date="2023-09-06T10:58:00Z" w:initials="科林">
    <w:p w14:paraId="12471B4E" w14:textId="40CAFA28" w:rsidR="0090274B" w:rsidRDefault="0090274B" w:rsidP="005C25D2">
      <w:pPr>
        <w:pStyle w:val="ab"/>
      </w:pPr>
      <w:r>
        <w:rPr>
          <w:rStyle w:val="aa"/>
        </w:rPr>
        <w:annotationRef/>
      </w:r>
      <w:r>
        <w:t>既指期货，又指期权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4F0485" w15:done="0"/>
  <w15:commentEx w15:paraId="6124D9B1" w15:done="0"/>
  <w15:commentEx w15:paraId="0F2886CE" w15:done="0"/>
  <w15:commentEx w15:paraId="699C3C40" w15:done="0"/>
  <w15:commentEx w15:paraId="7CA51450" w15:done="0"/>
  <w15:commentEx w15:paraId="72D142C4" w15:done="0"/>
  <w15:commentEx w15:paraId="5D9668E3" w15:done="0"/>
  <w15:commentEx w15:paraId="7CAE0B84" w15:done="0"/>
  <w15:commentEx w15:paraId="663BBCC5" w15:done="0"/>
  <w15:commentEx w15:paraId="0B3FC2F0" w15:done="0"/>
  <w15:commentEx w15:paraId="7E92EDAD" w15:done="0"/>
  <w15:commentEx w15:paraId="19BC1CDC" w15:done="0"/>
  <w15:commentEx w15:paraId="5D68928E" w15:done="0"/>
  <w15:commentEx w15:paraId="12471B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2C6E4" w16cex:dateUtc="2023-09-06T01:37:00Z"/>
  <w16cex:commentExtensible w16cex:durableId="28A2C687" w16cex:dateUtc="2023-09-06T01:36:00Z"/>
  <w16cex:commentExtensible w16cex:durableId="28A2C882" w16cex:dateUtc="2023-09-06T01:44:00Z"/>
  <w16cex:commentExtensible w16cex:durableId="28A2C92A" w16cex:dateUtc="2023-09-06T01:47:00Z"/>
  <w16cex:commentExtensible w16cex:durableId="28A2CAAE" w16cex:dateUtc="2023-09-06T01:53:00Z"/>
  <w16cex:commentExtensible w16cex:durableId="28A2C9F9" w16cex:dateUtc="2023-09-06T01:50:00Z"/>
  <w16cex:commentExtensible w16cex:durableId="28A2CC3B" w16cex:dateUtc="2023-09-06T02:00:00Z"/>
  <w16cex:commentExtensible w16cex:durableId="28A2CCE3" w16cex:dateUtc="2023-09-06T02:03:00Z"/>
  <w16cex:commentExtensible w16cex:durableId="28A2CD51" w16cex:dateUtc="2023-09-06T02:05:00Z"/>
  <w16cex:commentExtensible w16cex:durableId="28A2D003" w16cex:dateUtc="2023-09-06T02:16:00Z"/>
  <w16cex:commentExtensible w16cex:durableId="28A2D437" w16cex:dateUtc="2023-09-06T02:34:00Z"/>
  <w16cex:commentExtensible w16cex:durableId="28A2D659" w16cex:dateUtc="2023-09-06T02:43:00Z"/>
  <w16cex:commentExtensible w16cex:durableId="28A2E24C" w16cex:dateUtc="2023-09-06T03:34:00Z"/>
  <w16cex:commentExtensible w16cex:durableId="28A2D9D1" w16cex:dateUtc="2023-09-06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4F0485" w16cid:durableId="28A2C6E4"/>
  <w16cid:commentId w16cid:paraId="6124D9B1" w16cid:durableId="28A2C687"/>
  <w16cid:commentId w16cid:paraId="0F2886CE" w16cid:durableId="28A2C882"/>
  <w16cid:commentId w16cid:paraId="699C3C40" w16cid:durableId="28A2C92A"/>
  <w16cid:commentId w16cid:paraId="7CA51450" w16cid:durableId="28A2CAAE"/>
  <w16cid:commentId w16cid:paraId="72D142C4" w16cid:durableId="28A2C9F9"/>
  <w16cid:commentId w16cid:paraId="5D9668E3" w16cid:durableId="28A2CC3B"/>
  <w16cid:commentId w16cid:paraId="7CAE0B84" w16cid:durableId="28A2CCE3"/>
  <w16cid:commentId w16cid:paraId="663BBCC5" w16cid:durableId="28A2CD51"/>
  <w16cid:commentId w16cid:paraId="0B3FC2F0" w16cid:durableId="28A2D003"/>
  <w16cid:commentId w16cid:paraId="7E92EDAD" w16cid:durableId="28A2D437"/>
  <w16cid:commentId w16cid:paraId="19BC1CDC" w16cid:durableId="28A2D659"/>
  <w16cid:commentId w16cid:paraId="5D68928E" w16cid:durableId="28A2E24C"/>
  <w16cid:commentId w16cid:paraId="12471B4E" w16cid:durableId="28A2D9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FAA8" w14:textId="77777777" w:rsidR="004E04F7" w:rsidRDefault="004E04F7" w:rsidP="0010574D">
      <w:r>
        <w:separator/>
      </w:r>
    </w:p>
  </w:endnote>
  <w:endnote w:type="continuationSeparator" w:id="0">
    <w:p w14:paraId="04A47FCF" w14:textId="77777777" w:rsidR="004E04F7" w:rsidRDefault="004E04F7" w:rsidP="00105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116F" w14:textId="77777777" w:rsidR="004E04F7" w:rsidRDefault="004E04F7" w:rsidP="0010574D">
      <w:r>
        <w:separator/>
      </w:r>
    </w:p>
  </w:footnote>
  <w:footnote w:type="continuationSeparator" w:id="0">
    <w:p w14:paraId="3BE8D6F0" w14:textId="77777777" w:rsidR="004E04F7" w:rsidRDefault="004E04F7" w:rsidP="00105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00640"/>
    <w:multiLevelType w:val="multilevel"/>
    <w:tmpl w:val="0B8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8318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98"/>
    <w:rsid w:val="00027703"/>
    <w:rsid w:val="0010574D"/>
    <w:rsid w:val="001B5298"/>
    <w:rsid w:val="001C0B98"/>
    <w:rsid w:val="00272289"/>
    <w:rsid w:val="00272D7F"/>
    <w:rsid w:val="002A7B7D"/>
    <w:rsid w:val="002C0078"/>
    <w:rsid w:val="003D1687"/>
    <w:rsid w:val="003E469B"/>
    <w:rsid w:val="0047505F"/>
    <w:rsid w:val="004E04F7"/>
    <w:rsid w:val="004E721C"/>
    <w:rsid w:val="00541B4D"/>
    <w:rsid w:val="0056794B"/>
    <w:rsid w:val="005C626D"/>
    <w:rsid w:val="005D469F"/>
    <w:rsid w:val="00621C65"/>
    <w:rsid w:val="00626593"/>
    <w:rsid w:val="006B5749"/>
    <w:rsid w:val="006F178F"/>
    <w:rsid w:val="007029FD"/>
    <w:rsid w:val="007C56C8"/>
    <w:rsid w:val="007D63F5"/>
    <w:rsid w:val="007E5326"/>
    <w:rsid w:val="008135B3"/>
    <w:rsid w:val="00816EF6"/>
    <w:rsid w:val="00863081"/>
    <w:rsid w:val="00890647"/>
    <w:rsid w:val="008C5047"/>
    <w:rsid w:val="008D5455"/>
    <w:rsid w:val="008F18AF"/>
    <w:rsid w:val="0090274B"/>
    <w:rsid w:val="0092585B"/>
    <w:rsid w:val="00952AF8"/>
    <w:rsid w:val="009542D5"/>
    <w:rsid w:val="00981E5C"/>
    <w:rsid w:val="00A33945"/>
    <w:rsid w:val="00AC4B4C"/>
    <w:rsid w:val="00AF7E5D"/>
    <w:rsid w:val="00BA2509"/>
    <w:rsid w:val="00BA5959"/>
    <w:rsid w:val="00BB0EBF"/>
    <w:rsid w:val="00C0409B"/>
    <w:rsid w:val="00CE140F"/>
    <w:rsid w:val="00D13DBB"/>
    <w:rsid w:val="00D903C7"/>
    <w:rsid w:val="00DE6778"/>
    <w:rsid w:val="00EA7411"/>
    <w:rsid w:val="00F70DD5"/>
    <w:rsid w:val="00F81230"/>
    <w:rsid w:val="00F97437"/>
    <w:rsid w:val="00FA13C4"/>
    <w:rsid w:val="00FA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27116"/>
  <w15:chartTrackingRefBased/>
  <w15:docId w15:val="{0D72BFCF-E138-4AA9-90C3-FF9545E8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0574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74D"/>
    <w:pPr>
      <w:tabs>
        <w:tab w:val="center" w:pos="4153"/>
        <w:tab w:val="right" w:pos="8306"/>
      </w:tabs>
      <w:snapToGrid w:val="0"/>
      <w:jc w:val="center"/>
    </w:pPr>
    <w:rPr>
      <w:sz w:val="18"/>
      <w:szCs w:val="18"/>
    </w:rPr>
  </w:style>
  <w:style w:type="character" w:customStyle="1" w:styleId="a4">
    <w:name w:val="页眉 字符"/>
    <w:basedOn w:val="a0"/>
    <w:link w:val="a3"/>
    <w:uiPriority w:val="99"/>
    <w:rsid w:val="0010574D"/>
    <w:rPr>
      <w:sz w:val="18"/>
      <w:szCs w:val="18"/>
    </w:rPr>
  </w:style>
  <w:style w:type="paragraph" w:styleId="a5">
    <w:name w:val="footer"/>
    <w:basedOn w:val="a"/>
    <w:link w:val="a6"/>
    <w:uiPriority w:val="99"/>
    <w:unhideWhenUsed/>
    <w:rsid w:val="0010574D"/>
    <w:pPr>
      <w:tabs>
        <w:tab w:val="center" w:pos="4153"/>
        <w:tab w:val="right" w:pos="8306"/>
      </w:tabs>
      <w:snapToGrid w:val="0"/>
      <w:jc w:val="left"/>
    </w:pPr>
    <w:rPr>
      <w:sz w:val="18"/>
      <w:szCs w:val="18"/>
    </w:rPr>
  </w:style>
  <w:style w:type="character" w:customStyle="1" w:styleId="a6">
    <w:name w:val="页脚 字符"/>
    <w:basedOn w:val="a0"/>
    <w:link w:val="a5"/>
    <w:uiPriority w:val="99"/>
    <w:rsid w:val="0010574D"/>
    <w:rPr>
      <w:sz w:val="18"/>
      <w:szCs w:val="18"/>
    </w:rPr>
  </w:style>
  <w:style w:type="character" w:customStyle="1" w:styleId="10">
    <w:name w:val="标题 1 字符"/>
    <w:basedOn w:val="a0"/>
    <w:link w:val="1"/>
    <w:uiPriority w:val="9"/>
    <w:rsid w:val="0010574D"/>
    <w:rPr>
      <w:rFonts w:ascii="宋体" w:eastAsia="宋体" w:hAnsi="宋体" w:cs="宋体"/>
      <w:b/>
      <w:bCs/>
      <w:kern w:val="36"/>
      <w:sz w:val="48"/>
      <w:szCs w:val="48"/>
    </w:rPr>
  </w:style>
  <w:style w:type="paragraph" w:customStyle="1" w:styleId="article-date">
    <w:name w:val="article-date"/>
    <w:basedOn w:val="a"/>
    <w:rsid w:val="0010574D"/>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unhideWhenUsed/>
    <w:rsid w:val="0010574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10574D"/>
    <w:rPr>
      <w:color w:val="0563C1" w:themeColor="hyperlink"/>
      <w:u w:val="single"/>
    </w:rPr>
  </w:style>
  <w:style w:type="character" w:styleId="a9">
    <w:name w:val="Unresolved Mention"/>
    <w:basedOn w:val="a0"/>
    <w:uiPriority w:val="99"/>
    <w:semiHidden/>
    <w:unhideWhenUsed/>
    <w:rsid w:val="0010574D"/>
    <w:rPr>
      <w:color w:val="605E5C"/>
      <w:shd w:val="clear" w:color="auto" w:fill="E1DFDD"/>
    </w:rPr>
  </w:style>
  <w:style w:type="character" w:styleId="aa">
    <w:name w:val="annotation reference"/>
    <w:basedOn w:val="a0"/>
    <w:uiPriority w:val="99"/>
    <w:semiHidden/>
    <w:unhideWhenUsed/>
    <w:rsid w:val="003D1687"/>
    <w:rPr>
      <w:sz w:val="21"/>
      <w:szCs w:val="21"/>
    </w:rPr>
  </w:style>
  <w:style w:type="paragraph" w:styleId="ab">
    <w:name w:val="annotation text"/>
    <w:basedOn w:val="a"/>
    <w:link w:val="ac"/>
    <w:uiPriority w:val="99"/>
    <w:unhideWhenUsed/>
    <w:rsid w:val="003D1687"/>
    <w:pPr>
      <w:jc w:val="left"/>
    </w:pPr>
  </w:style>
  <w:style w:type="character" w:customStyle="1" w:styleId="ac">
    <w:name w:val="批注文字 字符"/>
    <w:basedOn w:val="a0"/>
    <w:link w:val="ab"/>
    <w:uiPriority w:val="99"/>
    <w:rsid w:val="003D1687"/>
  </w:style>
  <w:style w:type="paragraph" w:styleId="ad">
    <w:name w:val="annotation subject"/>
    <w:basedOn w:val="ab"/>
    <w:next w:val="ab"/>
    <w:link w:val="ae"/>
    <w:uiPriority w:val="99"/>
    <w:semiHidden/>
    <w:unhideWhenUsed/>
    <w:rsid w:val="003D1687"/>
    <w:rPr>
      <w:b/>
      <w:bCs/>
    </w:rPr>
  </w:style>
  <w:style w:type="character" w:customStyle="1" w:styleId="ae">
    <w:name w:val="批注主题 字符"/>
    <w:basedOn w:val="ac"/>
    <w:link w:val="ad"/>
    <w:uiPriority w:val="99"/>
    <w:semiHidden/>
    <w:rsid w:val="003D1687"/>
    <w:rPr>
      <w:b/>
      <w:bCs/>
    </w:rPr>
  </w:style>
  <w:style w:type="paragraph" w:customStyle="1" w:styleId="pmargintop40">
    <w:name w:val="p_margin_top_40"/>
    <w:basedOn w:val="a"/>
    <w:rsid w:val="007C56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694255">
      <w:bodyDiv w:val="1"/>
      <w:marLeft w:val="0"/>
      <w:marRight w:val="0"/>
      <w:marTop w:val="0"/>
      <w:marBottom w:val="0"/>
      <w:divBdr>
        <w:top w:val="none" w:sz="0" w:space="0" w:color="auto"/>
        <w:left w:val="none" w:sz="0" w:space="0" w:color="auto"/>
        <w:bottom w:val="none" w:sz="0" w:space="0" w:color="auto"/>
        <w:right w:val="none" w:sz="0" w:space="0" w:color="auto"/>
      </w:divBdr>
    </w:div>
    <w:div w:id="1448623319">
      <w:bodyDiv w:val="1"/>
      <w:marLeft w:val="0"/>
      <w:marRight w:val="0"/>
      <w:marTop w:val="0"/>
      <w:marBottom w:val="0"/>
      <w:divBdr>
        <w:top w:val="none" w:sz="0" w:space="0" w:color="auto"/>
        <w:left w:val="none" w:sz="0" w:space="0" w:color="auto"/>
        <w:bottom w:val="none" w:sz="0" w:space="0" w:color="auto"/>
        <w:right w:val="none" w:sz="0" w:space="0" w:color="auto"/>
      </w:divBdr>
      <w:divsChild>
        <w:div w:id="445200143">
          <w:marLeft w:val="0"/>
          <w:marRight w:val="0"/>
          <w:marTop w:val="0"/>
          <w:marBottom w:val="0"/>
          <w:divBdr>
            <w:top w:val="none" w:sz="0" w:space="0" w:color="auto"/>
            <w:left w:val="none" w:sz="0" w:space="0" w:color="auto"/>
            <w:bottom w:val="none" w:sz="0" w:space="0" w:color="auto"/>
            <w:right w:val="none" w:sz="0" w:space="0" w:color="auto"/>
          </w:divBdr>
        </w:div>
      </w:divsChild>
    </w:div>
    <w:div w:id="1673950588">
      <w:bodyDiv w:val="1"/>
      <w:marLeft w:val="0"/>
      <w:marRight w:val="0"/>
      <w:marTop w:val="0"/>
      <w:marBottom w:val="0"/>
      <w:divBdr>
        <w:top w:val="none" w:sz="0" w:space="0" w:color="auto"/>
        <w:left w:val="none" w:sz="0" w:space="0" w:color="auto"/>
        <w:bottom w:val="none" w:sz="0" w:space="0" w:color="auto"/>
        <w:right w:val="none" w:sz="0" w:space="0" w:color="auto"/>
      </w:divBdr>
      <w:divsChild>
        <w:div w:id="43721652">
          <w:marLeft w:val="0"/>
          <w:marRight w:val="0"/>
          <w:marTop w:val="0"/>
          <w:marBottom w:val="0"/>
          <w:divBdr>
            <w:top w:val="none" w:sz="0" w:space="0" w:color="auto"/>
            <w:left w:val="none" w:sz="0" w:space="0" w:color="auto"/>
            <w:bottom w:val="none" w:sz="0" w:space="0" w:color="auto"/>
            <w:right w:val="none" w:sz="0" w:space="0" w:color="auto"/>
          </w:divBdr>
        </w:div>
        <w:div w:id="1145900616">
          <w:marLeft w:val="0"/>
          <w:marRight w:val="0"/>
          <w:marTop w:val="0"/>
          <w:marBottom w:val="0"/>
          <w:divBdr>
            <w:top w:val="none" w:sz="0" w:space="0" w:color="auto"/>
            <w:left w:val="none" w:sz="0" w:space="0" w:color="auto"/>
            <w:bottom w:val="none" w:sz="0" w:space="0" w:color="auto"/>
            <w:right w:val="none" w:sz="0" w:space="0" w:color="auto"/>
          </w:divBdr>
          <w:divsChild>
            <w:div w:id="1588885310">
              <w:marLeft w:val="0"/>
              <w:marRight w:val="0"/>
              <w:marTop w:val="0"/>
              <w:marBottom w:val="0"/>
              <w:divBdr>
                <w:top w:val="none" w:sz="0" w:space="0" w:color="auto"/>
                <w:left w:val="none" w:sz="0" w:space="0" w:color="auto"/>
                <w:bottom w:val="none" w:sz="0" w:space="0" w:color="auto"/>
                <w:right w:val="none" w:sz="0" w:space="0" w:color="auto"/>
              </w:divBdr>
              <w:divsChild>
                <w:div w:id="1066411677">
                  <w:marLeft w:val="0"/>
                  <w:marRight w:val="0"/>
                  <w:marTop w:val="0"/>
                  <w:marBottom w:val="0"/>
                  <w:divBdr>
                    <w:top w:val="none" w:sz="0" w:space="0" w:color="auto"/>
                    <w:left w:val="none" w:sz="0" w:space="0" w:color="auto"/>
                    <w:bottom w:val="none" w:sz="0" w:space="0" w:color="auto"/>
                    <w:right w:val="none" w:sz="0" w:space="0" w:color="auto"/>
                  </w:divBdr>
                  <w:divsChild>
                    <w:div w:id="1716735490">
                      <w:marLeft w:val="0"/>
                      <w:marRight w:val="0"/>
                      <w:marTop w:val="0"/>
                      <w:marBottom w:val="0"/>
                      <w:divBdr>
                        <w:top w:val="none" w:sz="0" w:space="0" w:color="auto"/>
                        <w:left w:val="none" w:sz="0" w:space="0" w:color="auto"/>
                        <w:bottom w:val="none" w:sz="0" w:space="0" w:color="auto"/>
                        <w:right w:val="none" w:sz="0" w:space="0" w:color="auto"/>
                      </w:divBdr>
                      <w:divsChild>
                        <w:div w:id="1211191442">
                          <w:marLeft w:val="0"/>
                          <w:marRight w:val="0"/>
                          <w:marTop w:val="0"/>
                          <w:marBottom w:val="0"/>
                          <w:divBdr>
                            <w:top w:val="none" w:sz="0" w:space="0" w:color="auto"/>
                            <w:left w:val="none" w:sz="0" w:space="0" w:color="auto"/>
                            <w:bottom w:val="none" w:sz="0" w:space="0" w:color="auto"/>
                            <w:right w:val="none" w:sz="0" w:space="0" w:color="auto"/>
                          </w:divBdr>
                        </w:div>
                        <w:div w:id="193931306">
                          <w:marLeft w:val="0"/>
                          <w:marRight w:val="0"/>
                          <w:marTop w:val="0"/>
                          <w:marBottom w:val="0"/>
                          <w:divBdr>
                            <w:top w:val="none" w:sz="0" w:space="0" w:color="auto"/>
                            <w:left w:val="none" w:sz="0" w:space="0" w:color="auto"/>
                            <w:bottom w:val="none" w:sz="0" w:space="0" w:color="auto"/>
                            <w:right w:val="none" w:sz="0" w:space="0" w:color="auto"/>
                          </w:divBdr>
                          <w:divsChild>
                            <w:div w:id="243997987">
                              <w:marLeft w:val="0"/>
                              <w:marRight w:val="0"/>
                              <w:marTop w:val="0"/>
                              <w:marBottom w:val="0"/>
                              <w:divBdr>
                                <w:top w:val="none" w:sz="0" w:space="0" w:color="auto"/>
                                <w:left w:val="none" w:sz="0" w:space="0" w:color="auto"/>
                                <w:bottom w:val="none" w:sz="0" w:space="0" w:color="auto"/>
                                <w:right w:val="none" w:sz="0" w:space="0" w:color="auto"/>
                              </w:divBdr>
                            </w:div>
                            <w:div w:id="11752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fe.com.cn/docview/docview_4226237.htm"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8</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84</cp:revision>
  <dcterms:created xsi:type="dcterms:W3CDTF">2023-09-05T10:19:00Z</dcterms:created>
  <dcterms:modified xsi:type="dcterms:W3CDTF">2023-09-08T10:30:00Z</dcterms:modified>
</cp:coreProperties>
</file>