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CA7B"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color w:val="1F1F1F"/>
          <w:kern w:val="0"/>
          <w:sz w:val="24"/>
          <w:szCs w:val="24"/>
        </w:rPr>
        <w:t>As the decentralized finance (DeFi) sector continues to gain momentum, global regulatory authorities are grappling with effectively overseeing this new frontier in financial services. The Financial Action Task Force (</w:t>
      </w:r>
      <w:hyperlink r:id="rId7" w:history="1">
        <w:r w:rsidRPr="00E633D6">
          <w:rPr>
            <w:rFonts w:ascii="Open Sans" w:eastAsia="宋体" w:hAnsi="Open Sans" w:cs="Open Sans"/>
            <w:color w:val="0000FF"/>
            <w:kern w:val="0"/>
            <w:sz w:val="24"/>
            <w:szCs w:val="24"/>
            <w:highlight w:val="yellow"/>
            <w:u w:val="single"/>
          </w:rPr>
          <w:t>FATF</w:t>
        </w:r>
      </w:hyperlink>
      <w:r w:rsidRPr="00E633D6">
        <w:rPr>
          <w:rFonts w:ascii="Open Sans" w:eastAsia="宋体" w:hAnsi="Open Sans" w:cs="Open Sans"/>
          <w:color w:val="1F1F1F"/>
          <w:kern w:val="0"/>
          <w:sz w:val="24"/>
          <w:szCs w:val="24"/>
        </w:rPr>
        <w:t>) and the European Union (</w:t>
      </w:r>
      <w:r w:rsidRPr="00E633D6">
        <w:rPr>
          <w:rFonts w:ascii="Open Sans" w:eastAsia="宋体" w:hAnsi="Open Sans" w:cs="Open Sans"/>
          <w:color w:val="1F1F1F"/>
          <w:kern w:val="0"/>
          <w:sz w:val="24"/>
          <w:szCs w:val="24"/>
          <w:highlight w:val="yellow"/>
        </w:rPr>
        <w:t>EU</w:t>
      </w:r>
      <w:r w:rsidRPr="00E633D6">
        <w:rPr>
          <w:rFonts w:ascii="Open Sans" w:eastAsia="宋体" w:hAnsi="Open Sans" w:cs="Open Sans"/>
          <w:color w:val="1F1F1F"/>
          <w:kern w:val="0"/>
          <w:sz w:val="24"/>
          <w:szCs w:val="24"/>
        </w:rPr>
        <w:t xml:space="preserve">) are formulating their respective approaches to DeFi regulation, focusing on a broad interpretation of the definitions provided in the FATF’s standards and shifting towards an </w:t>
      </w:r>
      <w:r w:rsidRPr="00E633D6">
        <w:rPr>
          <w:rFonts w:ascii="Open Sans" w:eastAsia="宋体" w:hAnsi="Open Sans" w:cs="Open Sans"/>
          <w:color w:val="1F1F1F"/>
          <w:kern w:val="0"/>
          <w:sz w:val="24"/>
          <w:szCs w:val="24"/>
          <w:highlight w:val="yellow"/>
        </w:rPr>
        <w:t>activity-based regulatory approach</w:t>
      </w:r>
      <w:r w:rsidRPr="00E633D6">
        <w:rPr>
          <w:rFonts w:ascii="Open Sans" w:eastAsia="宋体" w:hAnsi="Open Sans" w:cs="Open Sans"/>
          <w:color w:val="1F1F1F"/>
          <w:kern w:val="0"/>
          <w:sz w:val="24"/>
          <w:szCs w:val="24"/>
        </w:rPr>
        <w:t>. The challenge lies in determining which entities within the DeFi ecosystem qualify as virtual asset service providers (</w:t>
      </w:r>
      <w:hyperlink r:id="rId8" w:history="1">
        <w:r w:rsidRPr="00E633D6">
          <w:rPr>
            <w:rFonts w:ascii="Open Sans" w:eastAsia="宋体" w:hAnsi="Open Sans" w:cs="Open Sans"/>
            <w:color w:val="0000FF"/>
            <w:kern w:val="0"/>
            <w:sz w:val="24"/>
            <w:szCs w:val="24"/>
            <w:u w:val="single"/>
          </w:rPr>
          <w:t>VASPs</w:t>
        </w:r>
      </w:hyperlink>
      <w:r w:rsidRPr="00E633D6">
        <w:rPr>
          <w:rFonts w:ascii="Open Sans" w:eastAsia="宋体" w:hAnsi="Open Sans" w:cs="Open Sans"/>
          <w:color w:val="1F1F1F"/>
          <w:kern w:val="0"/>
          <w:sz w:val="24"/>
          <w:szCs w:val="24"/>
        </w:rPr>
        <w:t>) and how to apply anti-money laundering (</w:t>
      </w:r>
      <w:hyperlink r:id="rId9" w:history="1">
        <w:r w:rsidRPr="00E633D6">
          <w:rPr>
            <w:rFonts w:ascii="Open Sans" w:eastAsia="宋体" w:hAnsi="Open Sans" w:cs="Open Sans"/>
            <w:color w:val="0000FF"/>
            <w:kern w:val="0"/>
            <w:sz w:val="24"/>
            <w:szCs w:val="24"/>
            <w:u w:val="single"/>
          </w:rPr>
          <w:t>AML</w:t>
        </w:r>
      </w:hyperlink>
      <w:r w:rsidRPr="00E633D6">
        <w:rPr>
          <w:rFonts w:ascii="Open Sans" w:eastAsia="宋体" w:hAnsi="Open Sans" w:cs="Open Sans"/>
          <w:color w:val="1F1F1F"/>
          <w:kern w:val="0"/>
          <w:sz w:val="24"/>
          <w:szCs w:val="24"/>
        </w:rPr>
        <w:t>) and counter-terrorism financing(</w:t>
      </w:r>
      <w:hyperlink r:id="rId10" w:history="1">
        <w:r w:rsidRPr="00E633D6">
          <w:rPr>
            <w:rFonts w:ascii="Open Sans" w:eastAsia="宋体" w:hAnsi="Open Sans" w:cs="Open Sans"/>
            <w:color w:val="0000FF"/>
            <w:kern w:val="0"/>
            <w:sz w:val="24"/>
            <w:szCs w:val="24"/>
            <w:u w:val="single"/>
          </w:rPr>
          <w:t>CFT</w:t>
        </w:r>
      </w:hyperlink>
      <w:r w:rsidRPr="00E633D6">
        <w:rPr>
          <w:rFonts w:ascii="Open Sans" w:eastAsia="宋体" w:hAnsi="Open Sans" w:cs="Open Sans"/>
          <w:color w:val="1F1F1F"/>
          <w:kern w:val="0"/>
          <w:sz w:val="24"/>
          <w:szCs w:val="24"/>
        </w:rPr>
        <w:t>) obligations to them.</w:t>
      </w:r>
    </w:p>
    <w:p w14:paraId="76BC9265"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color w:val="1F1F1F"/>
          <w:kern w:val="0"/>
          <w:sz w:val="24"/>
          <w:szCs w:val="24"/>
        </w:rPr>
        <w:t>In other posts, we covered the FATF’s and the EU’s regulatory stances on non-fungible tokens (</w:t>
      </w:r>
      <w:hyperlink r:id="rId11" w:history="1">
        <w:r w:rsidRPr="00E633D6">
          <w:rPr>
            <w:rFonts w:ascii="Open Sans" w:eastAsia="宋体" w:hAnsi="Open Sans" w:cs="Open Sans"/>
            <w:color w:val="0000FF"/>
            <w:kern w:val="0"/>
            <w:sz w:val="24"/>
            <w:szCs w:val="24"/>
            <w:u w:val="single"/>
          </w:rPr>
          <w:t>NFTs</w:t>
        </w:r>
      </w:hyperlink>
      <w:r w:rsidRPr="00E633D6">
        <w:rPr>
          <w:rFonts w:ascii="Open Sans" w:eastAsia="宋体" w:hAnsi="Open Sans" w:cs="Open Sans"/>
          <w:color w:val="1F1F1F"/>
          <w:kern w:val="0"/>
          <w:sz w:val="24"/>
          <w:szCs w:val="24"/>
        </w:rPr>
        <w:t>) and </w:t>
      </w:r>
      <w:hyperlink r:id="rId12" w:history="1">
        <w:r w:rsidRPr="00E633D6">
          <w:rPr>
            <w:rFonts w:ascii="Open Sans" w:eastAsia="宋体" w:hAnsi="Open Sans" w:cs="Open Sans"/>
            <w:color w:val="0000FF"/>
            <w:kern w:val="0"/>
            <w:sz w:val="24"/>
            <w:szCs w:val="24"/>
            <w:u w:val="single"/>
          </w:rPr>
          <w:t>stablecoins</w:t>
        </w:r>
      </w:hyperlink>
      <w:r w:rsidRPr="00E633D6">
        <w:rPr>
          <w:rFonts w:ascii="Open Sans" w:eastAsia="宋体" w:hAnsi="Open Sans" w:cs="Open Sans"/>
          <w:color w:val="1F1F1F"/>
          <w:kern w:val="0"/>
          <w:sz w:val="24"/>
          <w:szCs w:val="24"/>
        </w:rPr>
        <w:t>. This article, taken from our</w:t>
      </w:r>
      <w:hyperlink r:id="rId13" w:history="1">
        <w:r w:rsidRPr="00E633D6">
          <w:rPr>
            <w:rFonts w:ascii="Open Sans" w:eastAsia="宋体" w:hAnsi="Open Sans" w:cs="Open Sans"/>
            <w:color w:val="0000FF"/>
            <w:kern w:val="0"/>
            <w:sz w:val="24"/>
            <w:szCs w:val="24"/>
            <w:u w:val="single"/>
          </w:rPr>
          <w:t>2023 State of Crypto Travel Rule Compliance Report</w:t>
        </w:r>
      </w:hyperlink>
      <w:r w:rsidRPr="00E633D6">
        <w:rPr>
          <w:rFonts w:ascii="Open Sans" w:eastAsia="宋体" w:hAnsi="Open Sans" w:cs="Open Sans"/>
          <w:color w:val="1F1F1F"/>
          <w:kern w:val="0"/>
          <w:sz w:val="24"/>
          <w:szCs w:val="24"/>
        </w:rPr>
        <w:t>, compares their regulatory stances on DeFi.</w:t>
      </w:r>
    </w:p>
    <w:p w14:paraId="3B4911FF"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MS Gothic" w:eastAsia="MS Gothic" w:hAnsi="MS Gothic" w:cs="MS Gothic"/>
          <w:color w:val="1F1F1F"/>
          <w:kern w:val="0"/>
          <w:sz w:val="24"/>
          <w:szCs w:val="24"/>
        </w:rPr>
        <w:t>‍</w:t>
      </w:r>
    </w:p>
    <w:p w14:paraId="7D442D4A" w14:textId="77777777" w:rsidR="00E633D6" w:rsidRPr="00E633D6" w:rsidRDefault="00E633D6" w:rsidP="00E633D6">
      <w:pPr>
        <w:widowControl/>
        <w:shd w:val="clear" w:color="auto" w:fill="FFFFFF"/>
        <w:spacing w:before="100" w:beforeAutospacing="1" w:after="100" w:afterAutospacing="1" w:line="686" w:lineRule="atLeast"/>
        <w:jc w:val="left"/>
        <w:outlineLvl w:val="1"/>
        <w:rPr>
          <w:rFonts w:ascii="Roboto Slab" w:eastAsia="宋体" w:hAnsi="Roboto Slab" w:cs="Roboto Slab"/>
          <w:b/>
          <w:bCs/>
          <w:color w:val="1F1F1F"/>
          <w:kern w:val="0"/>
          <w:sz w:val="36"/>
          <w:szCs w:val="36"/>
        </w:rPr>
      </w:pPr>
      <w:r w:rsidRPr="00E633D6">
        <w:rPr>
          <w:rFonts w:ascii="Roboto Slab" w:eastAsia="宋体" w:hAnsi="Roboto Slab" w:cs="Roboto Slab"/>
          <w:b/>
          <w:bCs/>
          <w:color w:val="1F1F1F"/>
          <w:kern w:val="0"/>
          <w:sz w:val="36"/>
          <w:szCs w:val="36"/>
        </w:rPr>
        <w:t>What is DeFi?</w:t>
      </w:r>
    </w:p>
    <w:p w14:paraId="3B8A5EED"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color w:val="1F1F1F"/>
          <w:kern w:val="0"/>
          <w:sz w:val="24"/>
          <w:szCs w:val="24"/>
        </w:rPr>
        <w:t xml:space="preserve">DeFi eliminates intermediaries in financial services by executing transactions via code on blockchains. In 2022, DeFi protocols and applications continued their unprecedented growth, with </w:t>
      </w:r>
      <w:r w:rsidRPr="00E633D6">
        <w:rPr>
          <w:rFonts w:ascii="Open Sans" w:eastAsia="宋体" w:hAnsi="Open Sans" w:cs="Open Sans"/>
          <w:color w:val="1F1F1F"/>
          <w:kern w:val="0"/>
          <w:sz w:val="24"/>
          <w:szCs w:val="24"/>
          <w:highlight w:val="yellow"/>
        </w:rPr>
        <w:t>major asset managers offering DeFi exposure to institutional investors</w:t>
      </w:r>
      <w:r w:rsidRPr="00E633D6">
        <w:rPr>
          <w:rFonts w:ascii="Open Sans" w:eastAsia="宋体" w:hAnsi="Open Sans" w:cs="Open Sans"/>
          <w:color w:val="1F1F1F"/>
          <w:kern w:val="0"/>
          <w:sz w:val="24"/>
          <w:szCs w:val="24"/>
        </w:rPr>
        <w:t xml:space="preserve">. Retail users </w:t>
      </w:r>
      <w:r w:rsidRPr="00E633D6">
        <w:rPr>
          <w:rFonts w:ascii="Open Sans" w:eastAsia="宋体" w:hAnsi="Open Sans" w:cs="Open Sans"/>
          <w:color w:val="1F1F1F"/>
          <w:kern w:val="0"/>
          <w:sz w:val="24"/>
          <w:szCs w:val="24"/>
        </w:rPr>
        <w:lastRenderedPageBreak/>
        <w:t>continued to flock to DeFi, although there were risks along the way- liquidations surpassed $8.7 million on February 23, and DeFi exploits across blockchains worldwide totaled $3.64 billion in 2022, a rise of 47.4% </w:t>
      </w:r>
      <w:hyperlink r:id="rId14" w:history="1">
        <w:r w:rsidRPr="00E633D6">
          <w:rPr>
            <w:rFonts w:ascii="Open Sans" w:eastAsia="宋体" w:hAnsi="Open Sans" w:cs="Open Sans"/>
            <w:color w:val="0000FF"/>
            <w:kern w:val="0"/>
            <w:sz w:val="24"/>
            <w:szCs w:val="24"/>
            <w:u w:val="single"/>
          </w:rPr>
          <w:t>compared to 2021</w:t>
        </w:r>
      </w:hyperlink>
      <w:r w:rsidRPr="00E633D6">
        <w:rPr>
          <w:rFonts w:ascii="Open Sans" w:eastAsia="宋体" w:hAnsi="Open Sans" w:cs="Open Sans"/>
          <w:color w:val="1F1F1F"/>
          <w:kern w:val="0"/>
          <w:sz w:val="24"/>
          <w:szCs w:val="24"/>
        </w:rPr>
        <w:t>.</w:t>
      </w:r>
    </w:p>
    <w:p w14:paraId="46688B6E" w14:textId="56E76809" w:rsidR="00E633D6" w:rsidRPr="00E633D6" w:rsidRDefault="00E633D6" w:rsidP="00E633D6">
      <w:pPr>
        <w:widowControl/>
        <w:shd w:val="clear" w:color="auto" w:fill="FFFFFF"/>
        <w:jc w:val="left"/>
        <w:rPr>
          <w:rFonts w:ascii="Open Sans" w:eastAsia="宋体" w:hAnsi="Open Sans" w:cs="Open Sans"/>
          <w:color w:val="1F1F1F"/>
          <w:kern w:val="0"/>
          <w:sz w:val="2"/>
          <w:szCs w:val="2"/>
        </w:rPr>
      </w:pPr>
      <w:r w:rsidRPr="00E633D6">
        <w:rPr>
          <w:rFonts w:ascii="Open Sans" w:eastAsia="宋体" w:hAnsi="Open Sans" w:cs="Open Sans"/>
          <w:noProof/>
          <w:color w:val="1F1F1F"/>
          <w:kern w:val="0"/>
          <w:sz w:val="2"/>
          <w:szCs w:val="2"/>
        </w:rPr>
        <w:drawing>
          <wp:inline distT="0" distB="0" distL="0" distR="0" wp14:anchorId="0CF8BA22" wp14:editId="05B5F72A">
            <wp:extent cx="5274310" cy="4100830"/>
            <wp:effectExtent l="0" t="0" r="2540" b="0"/>
            <wp:docPr id="9058732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4100830"/>
                    </a:xfrm>
                    <a:prstGeom prst="rect">
                      <a:avLst/>
                    </a:prstGeom>
                    <a:noFill/>
                    <a:ln>
                      <a:noFill/>
                    </a:ln>
                  </pic:spPr>
                </pic:pic>
              </a:graphicData>
            </a:graphic>
          </wp:inline>
        </w:drawing>
      </w:r>
    </w:p>
    <w:p w14:paraId="33B9D2EE" w14:textId="77777777" w:rsidR="00E633D6" w:rsidRPr="00E633D6" w:rsidRDefault="00E633D6" w:rsidP="00E633D6">
      <w:pPr>
        <w:widowControl/>
        <w:shd w:val="clear" w:color="auto" w:fill="FFFFFF"/>
        <w:spacing w:before="100" w:beforeAutospacing="1" w:after="100" w:afterAutospacing="1" w:line="562" w:lineRule="atLeast"/>
        <w:jc w:val="left"/>
        <w:outlineLvl w:val="2"/>
        <w:rPr>
          <w:rFonts w:ascii="Roboto Slab" w:eastAsia="宋体" w:hAnsi="Roboto Slab" w:cs="Roboto Slab"/>
          <w:b/>
          <w:bCs/>
          <w:color w:val="1F1F1F"/>
          <w:kern w:val="0"/>
          <w:sz w:val="27"/>
          <w:szCs w:val="27"/>
        </w:rPr>
      </w:pPr>
      <w:r w:rsidRPr="00E633D6">
        <w:rPr>
          <w:rFonts w:ascii="Roboto Slab" w:eastAsia="宋体" w:hAnsi="Roboto Slab" w:cs="Roboto Slab"/>
          <w:b/>
          <w:bCs/>
          <w:color w:val="1F1F1F"/>
          <w:kern w:val="0"/>
          <w:sz w:val="27"/>
          <w:szCs w:val="27"/>
        </w:rPr>
        <w:t>Timeline: DeFi Legal &amp; Regulatory Spotlight in 2022</w:t>
      </w:r>
    </w:p>
    <w:p w14:paraId="7ADDB160"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color w:val="1F1F1F"/>
          <w:kern w:val="0"/>
          <w:sz w:val="24"/>
          <w:szCs w:val="24"/>
          <w:highlight w:val="yellow"/>
        </w:rPr>
        <w:t>Protocol-level sanction action</w:t>
      </w:r>
      <w:r w:rsidRPr="00E633D6">
        <w:rPr>
          <w:rFonts w:ascii="Open Sans" w:eastAsia="宋体" w:hAnsi="Open Sans" w:cs="Open Sans"/>
          <w:color w:val="1F1F1F"/>
          <w:kern w:val="0"/>
          <w:sz w:val="24"/>
          <w:szCs w:val="24"/>
        </w:rPr>
        <w:t xml:space="preserve"> reared its head in 2022. In August 2022, </w:t>
      </w:r>
      <w:r w:rsidRPr="00E633D6">
        <w:rPr>
          <w:rFonts w:ascii="Open Sans" w:eastAsia="宋体" w:hAnsi="Open Sans" w:cs="Open Sans"/>
          <w:color w:val="1F1F1F"/>
          <w:kern w:val="0"/>
          <w:sz w:val="24"/>
          <w:szCs w:val="24"/>
          <w:highlight w:val="yellow"/>
        </w:rPr>
        <w:t>Tornado Cash</w:t>
      </w:r>
      <w:r w:rsidRPr="00E633D6">
        <w:rPr>
          <w:rFonts w:ascii="Open Sans" w:eastAsia="宋体" w:hAnsi="Open Sans" w:cs="Open Sans"/>
          <w:color w:val="1F1F1F"/>
          <w:kern w:val="0"/>
          <w:sz w:val="24"/>
          <w:szCs w:val="24"/>
        </w:rPr>
        <w:t xml:space="preserve">, an Ethereum-based mixer, was blacklisted by the Office of Foreign Assets Control (OFAC) for its alleged links to the </w:t>
      </w:r>
      <w:r w:rsidRPr="00E633D6">
        <w:rPr>
          <w:rFonts w:ascii="Open Sans" w:eastAsia="宋体" w:hAnsi="Open Sans" w:cs="Open Sans"/>
          <w:color w:val="1F1F1F"/>
          <w:kern w:val="0"/>
          <w:sz w:val="24"/>
          <w:szCs w:val="24"/>
          <w:highlight w:val="yellow"/>
        </w:rPr>
        <w:t>Lazarus</w:t>
      </w:r>
      <w:r w:rsidRPr="00E633D6">
        <w:rPr>
          <w:rFonts w:ascii="Open Sans" w:eastAsia="宋体" w:hAnsi="Open Sans" w:cs="Open Sans"/>
          <w:color w:val="1F1F1F"/>
          <w:kern w:val="0"/>
          <w:sz w:val="24"/>
          <w:szCs w:val="24"/>
        </w:rPr>
        <w:t xml:space="preserve"> hacker group from </w:t>
      </w:r>
      <w:commentRangeStart w:id="0"/>
      <w:r w:rsidRPr="00E633D6">
        <w:rPr>
          <w:rFonts w:ascii="Open Sans" w:eastAsia="宋体" w:hAnsi="Open Sans" w:cs="Open Sans"/>
          <w:color w:val="1F1F1F"/>
          <w:kern w:val="0"/>
          <w:sz w:val="24"/>
          <w:szCs w:val="24"/>
        </w:rPr>
        <w:t>North Korea</w:t>
      </w:r>
      <w:commentRangeEnd w:id="0"/>
      <w:r w:rsidR="00536958">
        <w:rPr>
          <w:rStyle w:val="ac"/>
        </w:rPr>
        <w:commentReference w:id="0"/>
      </w:r>
      <w:r w:rsidRPr="00E633D6">
        <w:rPr>
          <w:rFonts w:ascii="Open Sans" w:eastAsia="宋体" w:hAnsi="Open Sans" w:cs="Open Sans"/>
          <w:color w:val="1F1F1F"/>
          <w:kern w:val="0"/>
          <w:sz w:val="24"/>
          <w:szCs w:val="24"/>
        </w:rPr>
        <w:t xml:space="preserve">. This incident indicates that DeFi protocols will have to comply with sanctions in the future. Additionally, financial </w:t>
      </w:r>
      <w:r w:rsidRPr="00E633D6">
        <w:rPr>
          <w:rFonts w:ascii="Open Sans" w:eastAsia="宋体" w:hAnsi="Open Sans" w:cs="Open Sans"/>
          <w:color w:val="1F1F1F"/>
          <w:kern w:val="0"/>
          <w:sz w:val="24"/>
          <w:szCs w:val="24"/>
        </w:rPr>
        <w:lastRenderedPageBreak/>
        <w:t>regulators released papers highlighting the challenges surrounding DeFi regulation. Below we highlight relevant DeFi events in 2022:</w:t>
      </w:r>
    </w:p>
    <w:p w14:paraId="25EAA391"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b/>
          <w:bCs/>
          <w:color w:val="1F1F1F"/>
          <w:kern w:val="0"/>
          <w:sz w:val="24"/>
          <w:szCs w:val="24"/>
        </w:rPr>
        <w:t>N.B. </w:t>
      </w:r>
      <w:r w:rsidRPr="00E633D6">
        <w:rPr>
          <w:rFonts w:ascii="Open Sans" w:eastAsia="宋体" w:hAnsi="Open Sans" w:cs="Open Sans"/>
          <w:color w:val="1F1F1F"/>
          <w:kern w:val="0"/>
          <w:sz w:val="24"/>
          <w:szCs w:val="24"/>
        </w:rPr>
        <w:t>Dates accompanied by a clipboard icon </w:t>
      </w:r>
      <w:r w:rsidRPr="00E633D6">
        <w:rPr>
          <w:rFonts w:ascii="Segoe UI Emoji" w:eastAsia="宋体" w:hAnsi="Segoe UI Emoji" w:cs="Segoe UI Emoji"/>
          <w:b/>
          <w:bCs/>
          <w:color w:val="1F1F1F"/>
          <w:kern w:val="0"/>
          <w:sz w:val="24"/>
          <w:szCs w:val="24"/>
        </w:rPr>
        <w:t>📋</w:t>
      </w:r>
      <w:r w:rsidRPr="00E633D6">
        <w:rPr>
          <w:rFonts w:ascii="Open Sans" w:eastAsia="宋体" w:hAnsi="Open Sans" w:cs="Open Sans"/>
          <w:color w:val="1F1F1F"/>
          <w:kern w:val="0"/>
          <w:sz w:val="24"/>
          <w:szCs w:val="24"/>
        </w:rPr>
        <w:t> indicate a document that a regulator produced.</w:t>
      </w:r>
    </w:p>
    <w:p w14:paraId="3591B689" w14:textId="77777777" w:rsidR="00E633D6" w:rsidRPr="00E633D6" w:rsidRDefault="00E633D6" w:rsidP="00E633D6">
      <w:pPr>
        <w:widowControl/>
        <w:numPr>
          <w:ilvl w:val="0"/>
          <w:numId w:val="1"/>
        </w:numPr>
        <w:shd w:val="clear" w:color="auto" w:fill="FFFFFF"/>
        <w:spacing w:before="100" w:beforeAutospacing="1" w:after="60" w:line="432" w:lineRule="atLeast"/>
        <w:jc w:val="left"/>
        <w:rPr>
          <w:rFonts w:ascii="Open Sans" w:eastAsia="宋体" w:hAnsi="Open Sans" w:cs="Open Sans"/>
          <w:color w:val="1F1F1F"/>
          <w:kern w:val="0"/>
          <w:sz w:val="24"/>
          <w:szCs w:val="24"/>
        </w:rPr>
      </w:pPr>
      <w:r w:rsidRPr="00E633D6">
        <w:rPr>
          <w:rFonts w:ascii="MS Gothic" w:eastAsia="MS Gothic" w:hAnsi="MS Gothic" w:cs="MS Gothic" w:hint="eastAsia"/>
          <w:color w:val="1F1F1F"/>
          <w:kern w:val="0"/>
          <w:sz w:val="24"/>
          <w:szCs w:val="24"/>
        </w:rPr>
        <w:t>‍</w:t>
      </w:r>
      <w:r w:rsidRPr="00E633D6">
        <w:rPr>
          <w:rFonts w:ascii="Open Sans" w:eastAsia="宋体" w:hAnsi="Open Sans" w:cs="Open Sans"/>
          <w:b/>
          <w:bCs/>
          <w:color w:val="1F1F1F"/>
          <w:kern w:val="0"/>
          <w:sz w:val="24"/>
          <w:szCs w:val="24"/>
        </w:rPr>
        <w:t xml:space="preserve">June 8, 2021 </w:t>
      </w:r>
      <w:r w:rsidRPr="00E633D6">
        <w:rPr>
          <w:rFonts w:ascii="Segoe UI Emoji" w:eastAsia="宋体" w:hAnsi="Segoe UI Emoji" w:cs="Segoe UI Emoji"/>
          <w:b/>
          <w:bCs/>
          <w:color w:val="1F1F1F"/>
          <w:kern w:val="0"/>
          <w:sz w:val="24"/>
          <w:szCs w:val="24"/>
        </w:rPr>
        <w:t>📋</w:t>
      </w:r>
      <w:r w:rsidRPr="00E633D6">
        <w:rPr>
          <w:rFonts w:ascii="Open Sans" w:eastAsia="宋体" w:hAnsi="Open Sans" w:cs="Open Sans"/>
          <w:b/>
          <w:bCs/>
          <w:color w:val="1F1F1F"/>
          <w:kern w:val="0"/>
          <w:sz w:val="24"/>
          <w:szCs w:val="24"/>
        </w:rPr>
        <w:t xml:space="preserve"> - </w:t>
      </w:r>
      <w:hyperlink r:id="rId20" w:history="1">
        <w:r w:rsidRPr="00E633D6">
          <w:rPr>
            <w:rFonts w:ascii="Open Sans" w:eastAsia="宋体" w:hAnsi="Open Sans" w:cs="Open Sans"/>
            <w:i/>
            <w:iCs/>
            <w:color w:val="0000FF"/>
            <w:kern w:val="0"/>
            <w:sz w:val="24"/>
            <w:szCs w:val="24"/>
            <w:u w:val="single"/>
          </w:rPr>
          <w:t>DeFi Policy Maker Toolkit</w:t>
        </w:r>
      </w:hyperlink>
      <w:r w:rsidRPr="00E633D6">
        <w:rPr>
          <w:rFonts w:ascii="Open Sans" w:eastAsia="宋体" w:hAnsi="Open Sans" w:cs="Open Sans"/>
          <w:color w:val="1F1F1F"/>
          <w:kern w:val="0"/>
          <w:sz w:val="24"/>
          <w:szCs w:val="24"/>
        </w:rPr>
        <w:t> | The World Economic Forum takes the stance that “</w:t>
      </w:r>
      <w:commentRangeStart w:id="1"/>
      <w:r w:rsidRPr="00E633D6">
        <w:rPr>
          <w:rFonts w:ascii="Open Sans" w:eastAsia="宋体" w:hAnsi="Open Sans" w:cs="Open Sans"/>
          <w:i/>
          <w:iCs/>
          <w:color w:val="1F1F1F"/>
          <w:kern w:val="0"/>
          <w:sz w:val="24"/>
          <w:szCs w:val="24"/>
        </w:rPr>
        <w:t>an effective regulatory response to DeFi is likely to involve a combination of existing regulation, retrofitted regulation, and new, bespoke regulation.</w:t>
      </w:r>
      <w:commentRangeEnd w:id="1"/>
      <w:r w:rsidR="007E0F58">
        <w:rPr>
          <w:rStyle w:val="ac"/>
        </w:rPr>
        <w:commentReference w:id="1"/>
      </w:r>
      <w:r w:rsidRPr="00E633D6">
        <w:rPr>
          <w:rFonts w:ascii="Open Sans" w:eastAsia="宋体" w:hAnsi="Open Sans" w:cs="Open Sans"/>
          <w:color w:val="1F1F1F"/>
          <w:kern w:val="0"/>
          <w:sz w:val="24"/>
          <w:szCs w:val="24"/>
        </w:rPr>
        <w:t>” (p.21)</w:t>
      </w:r>
    </w:p>
    <w:p w14:paraId="32147CD6" w14:textId="77777777" w:rsidR="00E633D6" w:rsidRPr="00E633D6" w:rsidRDefault="00E633D6" w:rsidP="00E633D6">
      <w:pPr>
        <w:widowControl/>
        <w:numPr>
          <w:ilvl w:val="0"/>
          <w:numId w:val="1"/>
        </w:numPr>
        <w:shd w:val="clear" w:color="auto" w:fill="FFFFFF"/>
        <w:spacing w:before="100" w:beforeAutospacing="1" w:after="60" w:line="432" w:lineRule="atLeast"/>
        <w:jc w:val="left"/>
        <w:rPr>
          <w:rFonts w:ascii="Open Sans" w:eastAsia="宋体" w:hAnsi="Open Sans" w:cs="Open Sans"/>
          <w:color w:val="1F1F1F"/>
          <w:kern w:val="0"/>
          <w:sz w:val="24"/>
          <w:szCs w:val="24"/>
        </w:rPr>
      </w:pPr>
      <w:r w:rsidRPr="00E633D6">
        <w:rPr>
          <w:rFonts w:ascii="MS Gothic" w:eastAsia="MS Gothic" w:hAnsi="MS Gothic" w:cs="MS Gothic" w:hint="eastAsia"/>
          <w:color w:val="1F1F1F"/>
          <w:kern w:val="0"/>
          <w:sz w:val="24"/>
          <w:szCs w:val="24"/>
        </w:rPr>
        <w:t>‍</w:t>
      </w:r>
      <w:r w:rsidRPr="00E633D6">
        <w:rPr>
          <w:rFonts w:ascii="Open Sans" w:eastAsia="宋体" w:hAnsi="Open Sans" w:cs="Open Sans"/>
          <w:b/>
          <w:bCs/>
          <w:color w:val="1F1F1F"/>
          <w:kern w:val="0"/>
          <w:sz w:val="24"/>
          <w:szCs w:val="24"/>
        </w:rPr>
        <w:t>January 5, 2022 - </w:t>
      </w:r>
      <w:hyperlink r:id="rId21" w:history="1">
        <w:r w:rsidRPr="00E633D6">
          <w:rPr>
            <w:rFonts w:ascii="Open Sans" w:eastAsia="宋体" w:hAnsi="Open Sans" w:cs="Open Sans"/>
            <w:color w:val="0000FF"/>
            <w:kern w:val="0"/>
            <w:sz w:val="24"/>
            <w:szCs w:val="24"/>
            <w:u w:val="single"/>
          </w:rPr>
          <w:t>Aave Arc</w:t>
        </w:r>
      </w:hyperlink>
      <w:r w:rsidRPr="00E633D6">
        <w:rPr>
          <w:rFonts w:ascii="Open Sans" w:eastAsia="宋体" w:hAnsi="Open Sans" w:cs="Open Sans"/>
          <w:color w:val="1F1F1F"/>
          <w:kern w:val="0"/>
          <w:sz w:val="24"/>
          <w:szCs w:val="24"/>
        </w:rPr>
        <w:t xml:space="preserve">, designed to help institutions develop new products and services utilizing digital assets, attracted 30 financial institutions to its </w:t>
      </w:r>
      <w:r w:rsidRPr="00E633D6">
        <w:rPr>
          <w:rFonts w:ascii="Open Sans" w:eastAsia="宋体" w:hAnsi="Open Sans" w:cs="Open Sans"/>
          <w:color w:val="1F1F1F"/>
          <w:kern w:val="0"/>
          <w:sz w:val="24"/>
          <w:szCs w:val="24"/>
          <w:highlight w:val="yellow"/>
        </w:rPr>
        <w:t>whitelist</w:t>
      </w:r>
      <w:r w:rsidRPr="00E633D6">
        <w:rPr>
          <w:rFonts w:ascii="Open Sans" w:eastAsia="宋体" w:hAnsi="Open Sans" w:cs="Open Sans"/>
          <w:color w:val="1F1F1F"/>
          <w:kern w:val="0"/>
          <w:sz w:val="24"/>
          <w:szCs w:val="24"/>
        </w:rPr>
        <w:t>.</w:t>
      </w:r>
      <w:r w:rsidRPr="00E633D6">
        <w:rPr>
          <w:rFonts w:ascii="MS Gothic" w:eastAsia="MS Gothic" w:hAnsi="MS Gothic" w:cs="MS Gothic"/>
          <w:b/>
          <w:bCs/>
          <w:color w:val="1F1F1F"/>
          <w:kern w:val="0"/>
          <w:sz w:val="24"/>
          <w:szCs w:val="24"/>
        </w:rPr>
        <w:t>‍</w:t>
      </w:r>
    </w:p>
    <w:p w14:paraId="5705FA21" w14:textId="77777777" w:rsidR="00E633D6" w:rsidRPr="00E633D6" w:rsidRDefault="00E633D6" w:rsidP="00E633D6">
      <w:pPr>
        <w:widowControl/>
        <w:numPr>
          <w:ilvl w:val="0"/>
          <w:numId w:val="1"/>
        </w:numPr>
        <w:shd w:val="clear" w:color="auto" w:fill="FFFFFF"/>
        <w:spacing w:before="100" w:beforeAutospacing="1" w:after="60" w:line="432" w:lineRule="atLeast"/>
        <w:jc w:val="left"/>
        <w:rPr>
          <w:rFonts w:ascii="Open Sans" w:eastAsia="宋体" w:hAnsi="Open Sans" w:cs="Open Sans"/>
          <w:color w:val="1F1F1F"/>
          <w:kern w:val="0"/>
          <w:sz w:val="24"/>
          <w:szCs w:val="24"/>
        </w:rPr>
      </w:pPr>
      <w:r w:rsidRPr="00E633D6">
        <w:rPr>
          <w:rFonts w:ascii="Open Sans" w:eastAsia="宋体" w:hAnsi="Open Sans" w:cs="Open Sans"/>
          <w:b/>
          <w:bCs/>
          <w:color w:val="1F1F1F"/>
          <w:kern w:val="0"/>
          <w:sz w:val="24"/>
          <w:szCs w:val="24"/>
        </w:rPr>
        <w:t xml:space="preserve">April 2, 2022 </w:t>
      </w:r>
      <w:r w:rsidRPr="00E633D6">
        <w:rPr>
          <w:rFonts w:ascii="Segoe UI Emoji" w:eastAsia="宋体" w:hAnsi="Segoe UI Emoji" w:cs="Segoe UI Emoji"/>
          <w:b/>
          <w:bCs/>
          <w:color w:val="1F1F1F"/>
          <w:kern w:val="0"/>
          <w:sz w:val="24"/>
          <w:szCs w:val="24"/>
        </w:rPr>
        <w:t>📋</w:t>
      </w:r>
      <w:r w:rsidRPr="00E633D6">
        <w:rPr>
          <w:rFonts w:ascii="Open Sans" w:eastAsia="宋体" w:hAnsi="Open Sans" w:cs="Open Sans"/>
          <w:b/>
          <w:bCs/>
          <w:color w:val="1F1F1F"/>
          <w:kern w:val="0"/>
          <w:sz w:val="24"/>
          <w:szCs w:val="24"/>
        </w:rPr>
        <w:t xml:space="preserve"> -</w:t>
      </w:r>
      <w:hyperlink r:id="rId22" w:history="1">
        <w:r w:rsidRPr="00E633D6">
          <w:rPr>
            <w:rFonts w:ascii="Open Sans" w:eastAsia="宋体" w:hAnsi="Open Sans" w:cs="Open Sans"/>
            <w:i/>
            <w:iCs/>
            <w:color w:val="0000FF"/>
            <w:kern w:val="0"/>
            <w:sz w:val="24"/>
            <w:szCs w:val="24"/>
            <w:u w:val="single"/>
          </w:rPr>
          <w:t>European Financial Stability and Integration Review 2022</w:t>
        </w:r>
      </w:hyperlink>
      <w:r w:rsidRPr="00E633D6">
        <w:rPr>
          <w:rFonts w:ascii="Open Sans" w:eastAsia="宋体" w:hAnsi="Open Sans" w:cs="Open Sans"/>
          <w:color w:val="1F1F1F"/>
          <w:kern w:val="0"/>
          <w:sz w:val="24"/>
          <w:szCs w:val="24"/>
        </w:rPr>
        <w:t> | The European Commission acknowledged that copying traditional regulatory approaches in a decentralized environment may not be an option. It notes, "</w:t>
      </w:r>
      <w:commentRangeStart w:id="2"/>
      <w:r w:rsidRPr="00E633D6">
        <w:rPr>
          <w:rFonts w:ascii="Open Sans" w:eastAsia="宋体" w:hAnsi="Open Sans" w:cs="Open Sans"/>
          <w:i/>
          <w:iCs/>
          <w:color w:val="1F1F1F"/>
          <w:kern w:val="0"/>
          <w:sz w:val="24"/>
          <w:szCs w:val="24"/>
          <w:highlight w:val="yellow"/>
        </w:rPr>
        <w:t>Possibly</w:t>
      </w:r>
      <w:commentRangeEnd w:id="2"/>
      <w:r w:rsidR="007E0F58">
        <w:rPr>
          <w:rStyle w:val="ac"/>
        </w:rPr>
        <w:commentReference w:id="2"/>
      </w:r>
      <w:r w:rsidRPr="00E633D6">
        <w:rPr>
          <w:rFonts w:ascii="Open Sans" w:eastAsia="宋体" w:hAnsi="Open Sans" w:cs="Open Sans"/>
          <w:i/>
          <w:iCs/>
          <w:color w:val="1F1F1F"/>
          <w:kern w:val="0"/>
          <w:sz w:val="24"/>
          <w:szCs w:val="24"/>
          <w:highlight w:val="yellow"/>
        </w:rPr>
        <w:t>, even more emphasis would need to be put on activity-based regulation as opposed to entity-based one</w:t>
      </w:r>
      <w:r w:rsidRPr="00E633D6">
        <w:rPr>
          <w:rFonts w:ascii="Open Sans" w:eastAsia="宋体" w:hAnsi="Open Sans" w:cs="Open Sans"/>
          <w:color w:val="1F1F1F"/>
          <w:kern w:val="0"/>
          <w:sz w:val="24"/>
          <w:szCs w:val="24"/>
          <w:highlight w:val="yellow"/>
        </w:rPr>
        <w:t>.</w:t>
      </w:r>
      <w:r w:rsidRPr="00E633D6">
        <w:rPr>
          <w:rFonts w:ascii="Open Sans" w:eastAsia="宋体" w:hAnsi="Open Sans" w:cs="Open Sans"/>
          <w:color w:val="1F1F1F"/>
          <w:kern w:val="0"/>
          <w:sz w:val="24"/>
          <w:szCs w:val="24"/>
        </w:rPr>
        <w:t>” </w:t>
      </w:r>
    </w:p>
    <w:p w14:paraId="1B599C68" w14:textId="77777777" w:rsidR="00E633D6" w:rsidRPr="00E633D6" w:rsidRDefault="00E633D6" w:rsidP="00E633D6">
      <w:pPr>
        <w:widowControl/>
        <w:numPr>
          <w:ilvl w:val="0"/>
          <w:numId w:val="1"/>
        </w:numPr>
        <w:shd w:val="clear" w:color="auto" w:fill="FFFFFF"/>
        <w:spacing w:before="100" w:beforeAutospacing="1" w:after="60" w:line="432" w:lineRule="atLeast"/>
        <w:jc w:val="left"/>
        <w:rPr>
          <w:rFonts w:ascii="Open Sans" w:eastAsia="宋体" w:hAnsi="Open Sans" w:cs="Open Sans"/>
          <w:color w:val="1F1F1F"/>
          <w:kern w:val="0"/>
          <w:sz w:val="24"/>
          <w:szCs w:val="24"/>
        </w:rPr>
      </w:pPr>
      <w:r w:rsidRPr="00E633D6">
        <w:rPr>
          <w:rFonts w:ascii="MS Gothic" w:eastAsia="MS Gothic" w:hAnsi="MS Gothic" w:cs="MS Gothic" w:hint="eastAsia"/>
          <w:color w:val="1F1F1F"/>
          <w:kern w:val="0"/>
          <w:sz w:val="24"/>
          <w:szCs w:val="24"/>
        </w:rPr>
        <w:t>‍</w:t>
      </w:r>
      <w:r w:rsidRPr="00E633D6">
        <w:rPr>
          <w:rFonts w:ascii="Open Sans" w:eastAsia="宋体" w:hAnsi="Open Sans" w:cs="Open Sans"/>
          <w:b/>
          <w:bCs/>
          <w:color w:val="1F1F1F"/>
          <w:kern w:val="0"/>
          <w:sz w:val="24"/>
          <w:szCs w:val="24"/>
        </w:rPr>
        <w:t>April 4, 2022</w:t>
      </w:r>
      <w:r w:rsidRPr="00E633D6">
        <w:rPr>
          <w:rFonts w:ascii="Open Sans" w:eastAsia="宋体" w:hAnsi="Open Sans" w:cs="Open Sans"/>
          <w:color w:val="1F1F1F"/>
          <w:kern w:val="0"/>
          <w:sz w:val="24"/>
          <w:szCs w:val="24"/>
        </w:rPr>
        <w:t xml:space="preserve"> - </w:t>
      </w:r>
      <w:commentRangeStart w:id="3"/>
      <w:r w:rsidRPr="00E633D6">
        <w:rPr>
          <w:rFonts w:ascii="Open Sans" w:eastAsia="宋体" w:hAnsi="Open Sans" w:cs="Open Sans"/>
          <w:color w:val="1F1F1F"/>
          <w:kern w:val="0"/>
          <w:sz w:val="24"/>
          <w:szCs w:val="24"/>
        </w:rPr>
        <w:t>Uniswap user forms a </w:t>
      </w:r>
      <w:hyperlink r:id="rId23" w:history="1">
        <w:r w:rsidRPr="00E633D6">
          <w:rPr>
            <w:rFonts w:ascii="Open Sans" w:eastAsia="宋体" w:hAnsi="Open Sans" w:cs="Open Sans"/>
            <w:color w:val="0000FF"/>
            <w:kern w:val="0"/>
            <w:sz w:val="24"/>
            <w:szCs w:val="24"/>
            <w:u w:val="single"/>
          </w:rPr>
          <w:t>class action lawsuit</w:t>
        </w:r>
      </w:hyperlink>
      <w:r w:rsidRPr="00E633D6">
        <w:rPr>
          <w:rFonts w:ascii="Open Sans" w:eastAsia="宋体" w:hAnsi="Open Sans" w:cs="Open Sans"/>
          <w:color w:val="1F1F1F"/>
          <w:kern w:val="0"/>
          <w:sz w:val="24"/>
          <w:szCs w:val="24"/>
        </w:rPr>
        <w:t> </w:t>
      </w:r>
      <w:hyperlink r:id="rId24" w:history="1">
        <w:r w:rsidRPr="00E633D6">
          <w:rPr>
            <w:rFonts w:ascii="Open Sans" w:eastAsia="宋体" w:hAnsi="Open Sans" w:cs="Open Sans"/>
            <w:color w:val="0000FF"/>
            <w:kern w:val="0"/>
            <w:sz w:val="24"/>
            <w:szCs w:val="24"/>
            <w:u w:val="single"/>
          </w:rPr>
          <w:t>alleging</w:t>
        </w:r>
      </w:hyperlink>
      <w:r w:rsidRPr="00E633D6">
        <w:rPr>
          <w:rFonts w:ascii="Open Sans" w:eastAsia="宋体" w:hAnsi="Open Sans" w:cs="Open Sans"/>
          <w:color w:val="1F1F1F"/>
          <w:kern w:val="0"/>
          <w:sz w:val="24"/>
          <w:szCs w:val="24"/>
        </w:rPr>
        <w:t> that Uniswap Labs and its investors are culpable for her losses due to a failure to comply with securities laws.</w:t>
      </w:r>
      <w:commentRangeEnd w:id="3"/>
      <w:r w:rsidR="00E90EF6">
        <w:rPr>
          <w:rStyle w:val="ac"/>
        </w:rPr>
        <w:commentReference w:id="3"/>
      </w:r>
    </w:p>
    <w:p w14:paraId="57D20225" w14:textId="77777777" w:rsidR="00E633D6" w:rsidRPr="00E633D6" w:rsidRDefault="00E633D6" w:rsidP="00E633D6">
      <w:pPr>
        <w:widowControl/>
        <w:numPr>
          <w:ilvl w:val="0"/>
          <w:numId w:val="1"/>
        </w:numPr>
        <w:shd w:val="clear" w:color="auto" w:fill="FFFFFF"/>
        <w:spacing w:before="100" w:beforeAutospacing="1" w:after="60" w:line="432" w:lineRule="atLeast"/>
        <w:jc w:val="left"/>
        <w:rPr>
          <w:rFonts w:ascii="Open Sans" w:eastAsia="宋体" w:hAnsi="Open Sans" w:cs="Open Sans"/>
          <w:color w:val="1F1F1F"/>
          <w:kern w:val="0"/>
          <w:sz w:val="24"/>
          <w:szCs w:val="24"/>
        </w:rPr>
      </w:pPr>
      <w:r w:rsidRPr="00E633D6">
        <w:rPr>
          <w:rFonts w:ascii="MS Gothic" w:eastAsia="MS Gothic" w:hAnsi="MS Gothic" w:cs="MS Gothic" w:hint="eastAsia"/>
          <w:color w:val="1F1F1F"/>
          <w:kern w:val="0"/>
          <w:sz w:val="24"/>
          <w:szCs w:val="24"/>
        </w:rPr>
        <w:lastRenderedPageBreak/>
        <w:t>‍</w:t>
      </w:r>
      <w:r w:rsidRPr="00E633D6">
        <w:rPr>
          <w:rFonts w:ascii="Open Sans" w:eastAsia="宋体" w:hAnsi="Open Sans" w:cs="Open Sans"/>
          <w:b/>
          <w:bCs/>
          <w:color w:val="1F1F1F"/>
          <w:kern w:val="0"/>
          <w:sz w:val="24"/>
          <w:szCs w:val="24"/>
        </w:rPr>
        <w:t xml:space="preserve">April 13, 2022 </w:t>
      </w:r>
      <w:r w:rsidRPr="00E633D6">
        <w:rPr>
          <w:rFonts w:ascii="Segoe UI Emoji" w:eastAsia="宋体" w:hAnsi="Segoe UI Emoji" w:cs="Segoe UI Emoji"/>
          <w:b/>
          <w:bCs/>
          <w:color w:val="1F1F1F"/>
          <w:kern w:val="0"/>
          <w:sz w:val="24"/>
          <w:szCs w:val="24"/>
        </w:rPr>
        <w:t>📋</w:t>
      </w:r>
      <w:r w:rsidRPr="00E633D6">
        <w:rPr>
          <w:rFonts w:ascii="Open Sans" w:eastAsia="宋体" w:hAnsi="Open Sans" w:cs="Open Sans"/>
          <w:b/>
          <w:bCs/>
          <w:color w:val="1F1F1F"/>
          <w:kern w:val="0"/>
          <w:sz w:val="24"/>
          <w:szCs w:val="24"/>
        </w:rPr>
        <w:t xml:space="preserve"> - </w:t>
      </w:r>
      <w:hyperlink r:id="rId25" w:history="1">
        <w:r w:rsidRPr="00E633D6">
          <w:rPr>
            <w:rFonts w:ascii="Open Sans" w:eastAsia="宋体" w:hAnsi="Open Sans" w:cs="Open Sans"/>
            <w:i/>
            <w:iCs/>
            <w:color w:val="0000FF"/>
            <w:kern w:val="0"/>
            <w:sz w:val="24"/>
            <w:szCs w:val="24"/>
            <w:u w:val="single"/>
          </w:rPr>
          <w:t>Policy Considerations for Decentralized Finance</w:t>
        </w:r>
      </w:hyperlink>
      <w:r w:rsidRPr="00E633D6">
        <w:rPr>
          <w:rFonts w:ascii="Open Sans" w:eastAsia="宋体" w:hAnsi="Open Sans" w:cs="Open Sans"/>
          <w:i/>
          <w:iCs/>
          <w:color w:val="1F1F1F"/>
          <w:kern w:val="0"/>
          <w:sz w:val="24"/>
          <w:szCs w:val="24"/>
        </w:rPr>
        <w:t> </w:t>
      </w:r>
      <w:r w:rsidRPr="00E633D6">
        <w:rPr>
          <w:rFonts w:ascii="Open Sans" w:eastAsia="宋体" w:hAnsi="Open Sans" w:cs="Open Sans"/>
          <w:color w:val="1F1F1F"/>
          <w:kern w:val="0"/>
          <w:sz w:val="24"/>
          <w:szCs w:val="24"/>
        </w:rPr>
        <w:t>| Abu Dhabi Global Market expresses the view that “</w:t>
      </w:r>
      <w:r w:rsidRPr="00E633D6">
        <w:rPr>
          <w:rFonts w:ascii="Open Sans" w:eastAsia="宋体" w:hAnsi="Open Sans" w:cs="Open Sans"/>
          <w:i/>
          <w:iCs/>
          <w:color w:val="1F1F1F"/>
          <w:kern w:val="0"/>
          <w:sz w:val="24"/>
          <w:szCs w:val="24"/>
          <w:highlight w:val="yellow"/>
        </w:rPr>
        <w:t>Given that DeFi does not change the underlying nature of financial services, we believe that similar requirements should be placed on DeFi participants as on TradFi participants. (...) However, we recognise that since DeFi changes how financial services are delivered, we may need to impose different obligations on a DeFi activity to achieve the same outcomes as those obligations placed on a TradFi operator</w:t>
      </w:r>
      <w:r w:rsidRPr="00E633D6">
        <w:rPr>
          <w:rFonts w:ascii="Open Sans" w:eastAsia="宋体" w:hAnsi="Open Sans" w:cs="Open Sans"/>
          <w:color w:val="1F1F1F"/>
          <w:kern w:val="0"/>
          <w:sz w:val="24"/>
          <w:szCs w:val="24"/>
          <w:highlight w:val="yellow"/>
        </w:rPr>
        <w:t>.</w:t>
      </w:r>
      <w:r w:rsidRPr="00E633D6">
        <w:rPr>
          <w:rFonts w:ascii="Open Sans" w:eastAsia="宋体" w:hAnsi="Open Sans" w:cs="Open Sans"/>
          <w:color w:val="1F1F1F"/>
          <w:kern w:val="0"/>
          <w:sz w:val="24"/>
          <w:szCs w:val="24"/>
        </w:rPr>
        <w:t>” (p.16-17)</w:t>
      </w:r>
    </w:p>
    <w:p w14:paraId="2EA92068" w14:textId="77777777" w:rsidR="00E633D6" w:rsidRPr="00E633D6" w:rsidRDefault="00E633D6" w:rsidP="00E633D6">
      <w:pPr>
        <w:widowControl/>
        <w:numPr>
          <w:ilvl w:val="0"/>
          <w:numId w:val="1"/>
        </w:numPr>
        <w:shd w:val="clear" w:color="auto" w:fill="FFFFFF"/>
        <w:spacing w:before="100" w:beforeAutospacing="1" w:after="60" w:line="432" w:lineRule="atLeast"/>
        <w:jc w:val="left"/>
        <w:rPr>
          <w:rFonts w:ascii="Open Sans" w:eastAsia="宋体" w:hAnsi="Open Sans" w:cs="Open Sans"/>
          <w:color w:val="1F1F1F"/>
          <w:kern w:val="0"/>
          <w:sz w:val="24"/>
          <w:szCs w:val="24"/>
        </w:rPr>
      </w:pPr>
      <w:r w:rsidRPr="00E633D6">
        <w:rPr>
          <w:rFonts w:ascii="MS Gothic" w:eastAsia="MS Gothic" w:hAnsi="MS Gothic" w:cs="MS Gothic" w:hint="eastAsia"/>
          <w:color w:val="1F1F1F"/>
          <w:kern w:val="0"/>
          <w:sz w:val="24"/>
          <w:szCs w:val="24"/>
        </w:rPr>
        <w:t>‍</w:t>
      </w:r>
      <w:r w:rsidRPr="00E633D6">
        <w:rPr>
          <w:rFonts w:ascii="Open Sans" w:eastAsia="宋体" w:hAnsi="Open Sans" w:cs="Open Sans"/>
          <w:b/>
          <w:bCs/>
          <w:color w:val="1F1F1F"/>
          <w:kern w:val="0"/>
          <w:sz w:val="24"/>
          <w:szCs w:val="24"/>
        </w:rPr>
        <w:t>August 8, 2022</w:t>
      </w:r>
      <w:r w:rsidRPr="00E633D6">
        <w:rPr>
          <w:rFonts w:ascii="Open Sans" w:eastAsia="宋体" w:hAnsi="Open Sans" w:cs="Open Sans"/>
          <w:i/>
          <w:iCs/>
          <w:color w:val="1F1F1F"/>
          <w:kern w:val="0"/>
          <w:sz w:val="24"/>
          <w:szCs w:val="24"/>
        </w:rPr>
        <w:t> - U.S. Treasury </w:t>
      </w:r>
      <w:hyperlink r:id="rId26" w:history="1">
        <w:r w:rsidRPr="00E633D6">
          <w:rPr>
            <w:rFonts w:ascii="Open Sans" w:eastAsia="宋体" w:hAnsi="Open Sans" w:cs="Open Sans"/>
            <w:i/>
            <w:iCs/>
            <w:color w:val="0000FF"/>
            <w:kern w:val="0"/>
            <w:sz w:val="24"/>
            <w:szCs w:val="24"/>
            <w:u w:val="single"/>
          </w:rPr>
          <w:t>Sanctions Notorious Virtual Currency Mixer</w:t>
        </w:r>
      </w:hyperlink>
      <w:r w:rsidRPr="00E633D6">
        <w:rPr>
          <w:rFonts w:ascii="Open Sans" w:eastAsia="宋体" w:hAnsi="Open Sans" w:cs="Open Sans"/>
          <w:i/>
          <w:iCs/>
          <w:color w:val="1F1F1F"/>
          <w:kern w:val="0"/>
          <w:sz w:val="24"/>
          <w:szCs w:val="24"/>
        </w:rPr>
        <w:t>Tornado Cash</w:t>
      </w:r>
    </w:p>
    <w:p w14:paraId="294CFCE4" w14:textId="77777777" w:rsidR="00E633D6" w:rsidRPr="00E633D6" w:rsidRDefault="00E633D6" w:rsidP="00E633D6">
      <w:pPr>
        <w:widowControl/>
        <w:numPr>
          <w:ilvl w:val="0"/>
          <w:numId w:val="1"/>
        </w:numPr>
        <w:shd w:val="clear" w:color="auto" w:fill="FFFFFF"/>
        <w:spacing w:before="100" w:beforeAutospacing="1" w:after="60" w:line="432" w:lineRule="atLeast"/>
        <w:jc w:val="left"/>
        <w:rPr>
          <w:rFonts w:ascii="Open Sans" w:eastAsia="宋体" w:hAnsi="Open Sans" w:cs="Open Sans"/>
          <w:color w:val="1F1F1F"/>
          <w:kern w:val="0"/>
          <w:sz w:val="24"/>
          <w:szCs w:val="24"/>
        </w:rPr>
      </w:pPr>
      <w:r w:rsidRPr="00E633D6">
        <w:rPr>
          <w:rFonts w:ascii="MS Gothic" w:eastAsia="MS Gothic" w:hAnsi="MS Gothic" w:cs="MS Gothic" w:hint="eastAsia"/>
          <w:color w:val="1F1F1F"/>
          <w:kern w:val="0"/>
          <w:sz w:val="24"/>
          <w:szCs w:val="24"/>
        </w:rPr>
        <w:t>‍</w:t>
      </w:r>
      <w:r w:rsidRPr="00E633D6">
        <w:rPr>
          <w:rFonts w:ascii="Open Sans" w:eastAsia="宋体" w:hAnsi="Open Sans" w:cs="Open Sans"/>
          <w:b/>
          <w:bCs/>
          <w:color w:val="1F1F1F"/>
          <w:kern w:val="0"/>
          <w:sz w:val="24"/>
          <w:szCs w:val="24"/>
        </w:rPr>
        <w:t>August 10, 2022</w:t>
      </w:r>
      <w:r w:rsidRPr="00E633D6">
        <w:rPr>
          <w:rFonts w:ascii="Open Sans" w:eastAsia="宋体" w:hAnsi="Open Sans" w:cs="Open Sans"/>
          <w:color w:val="1F1F1F"/>
          <w:kern w:val="0"/>
          <w:sz w:val="24"/>
          <w:szCs w:val="24"/>
        </w:rPr>
        <w:t xml:space="preserve"> - </w:t>
      </w:r>
      <w:commentRangeStart w:id="4"/>
      <w:r w:rsidRPr="00E633D6">
        <w:rPr>
          <w:rFonts w:ascii="Open Sans" w:eastAsia="宋体" w:hAnsi="Open Sans" w:cs="Open Sans"/>
          <w:color w:val="1F1F1F"/>
          <w:kern w:val="0"/>
          <w:sz w:val="24"/>
          <w:szCs w:val="24"/>
        </w:rPr>
        <w:t xml:space="preserve">MakerDAO </w:t>
      </w:r>
      <w:commentRangeEnd w:id="4"/>
      <w:r w:rsidR="00317F40">
        <w:rPr>
          <w:rStyle w:val="ac"/>
        </w:rPr>
        <w:commentReference w:id="4"/>
      </w:r>
      <w:r w:rsidRPr="00E633D6">
        <w:rPr>
          <w:rFonts w:ascii="Open Sans" w:eastAsia="宋体" w:hAnsi="Open Sans" w:cs="Open Sans"/>
          <w:color w:val="1F1F1F"/>
          <w:kern w:val="0"/>
          <w:sz w:val="24"/>
          <w:szCs w:val="24"/>
        </w:rPr>
        <w:t>makes </w:t>
      </w:r>
      <w:hyperlink r:id="rId27" w:history="1">
        <w:r w:rsidRPr="00E633D6">
          <w:rPr>
            <w:rFonts w:ascii="Open Sans" w:eastAsia="宋体" w:hAnsi="Open Sans" w:cs="Open Sans"/>
            <w:color w:val="0000FF"/>
            <w:kern w:val="0"/>
            <w:sz w:val="24"/>
            <w:szCs w:val="24"/>
            <w:u w:val="single"/>
          </w:rPr>
          <w:t>contingency plans to execute an emergency shutdown</w:t>
        </w:r>
      </w:hyperlink>
      <w:r w:rsidRPr="00E633D6">
        <w:rPr>
          <w:rFonts w:ascii="Open Sans" w:eastAsia="宋体" w:hAnsi="Open Sans" w:cs="Open Sans"/>
          <w:color w:val="1F1F1F"/>
          <w:kern w:val="0"/>
          <w:sz w:val="24"/>
          <w:szCs w:val="24"/>
        </w:rPr>
        <w:t> should core contracts underpinning DAI, its stablecoin, be sanctioned.</w:t>
      </w:r>
      <w:r w:rsidRPr="00E633D6">
        <w:rPr>
          <w:rFonts w:ascii="Open Sans" w:eastAsia="宋体" w:hAnsi="Open Sans" w:cs="Open Sans"/>
          <w:color w:val="1F1F1F"/>
          <w:kern w:val="0"/>
          <w:sz w:val="24"/>
          <w:szCs w:val="24"/>
        </w:rPr>
        <w:br/>
      </w:r>
    </w:p>
    <w:p w14:paraId="098E78C5" w14:textId="77777777" w:rsidR="00E633D6" w:rsidRPr="00E633D6" w:rsidRDefault="00E633D6" w:rsidP="00E633D6">
      <w:pPr>
        <w:widowControl/>
        <w:shd w:val="clear" w:color="auto" w:fill="FFFFFF"/>
        <w:spacing w:before="100" w:beforeAutospacing="1" w:after="100" w:afterAutospacing="1" w:line="686" w:lineRule="atLeast"/>
        <w:jc w:val="left"/>
        <w:outlineLvl w:val="1"/>
        <w:rPr>
          <w:rFonts w:ascii="Roboto Slab" w:eastAsia="宋体" w:hAnsi="Roboto Slab" w:cs="Roboto Slab"/>
          <w:b/>
          <w:bCs/>
          <w:color w:val="1F1F1F"/>
          <w:kern w:val="0"/>
          <w:sz w:val="36"/>
          <w:szCs w:val="36"/>
        </w:rPr>
      </w:pPr>
      <w:r w:rsidRPr="00E633D6">
        <w:rPr>
          <w:rFonts w:ascii="Roboto Slab" w:eastAsia="宋体" w:hAnsi="Roboto Slab" w:cs="Roboto Slab"/>
          <w:b/>
          <w:bCs/>
          <w:color w:val="1F1F1F"/>
          <w:kern w:val="0"/>
          <w:sz w:val="36"/>
          <w:szCs w:val="36"/>
        </w:rPr>
        <w:t>Crypto Travel Rule and DeFi</w:t>
      </w:r>
    </w:p>
    <w:p w14:paraId="39BBCB0C"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color w:val="1F1F1F"/>
          <w:kern w:val="0"/>
          <w:sz w:val="24"/>
          <w:szCs w:val="24"/>
        </w:rPr>
        <w:t>In this section, we will delve into the general stance of the FATF and the EU towards DeFi, examining whether DeFi is currently regulated and the measures being taken to continuously monitor and assess developments in the sector.</w:t>
      </w:r>
    </w:p>
    <w:p w14:paraId="74696F03"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MS Gothic" w:eastAsia="MS Gothic" w:hAnsi="MS Gothic" w:cs="MS Gothic"/>
          <w:color w:val="1F1F1F"/>
          <w:kern w:val="0"/>
          <w:sz w:val="24"/>
          <w:szCs w:val="24"/>
        </w:rPr>
        <w:t>‍</w:t>
      </w:r>
    </w:p>
    <w:p w14:paraId="0BD4B643" w14:textId="77777777" w:rsidR="00E633D6" w:rsidRPr="00E633D6" w:rsidRDefault="00E633D6" w:rsidP="00E633D6">
      <w:pPr>
        <w:widowControl/>
        <w:shd w:val="clear" w:color="auto" w:fill="FFFFFF"/>
        <w:spacing w:before="100" w:beforeAutospacing="1" w:after="100" w:afterAutospacing="1" w:line="562" w:lineRule="atLeast"/>
        <w:jc w:val="left"/>
        <w:outlineLvl w:val="2"/>
        <w:rPr>
          <w:rFonts w:ascii="Roboto Slab" w:eastAsia="宋体" w:hAnsi="Roboto Slab" w:cs="Roboto Slab"/>
          <w:b/>
          <w:bCs/>
          <w:color w:val="1F1F1F"/>
          <w:kern w:val="0"/>
          <w:sz w:val="27"/>
          <w:szCs w:val="27"/>
        </w:rPr>
      </w:pPr>
      <w:r w:rsidRPr="00E633D6">
        <w:rPr>
          <w:rFonts w:ascii="Roboto Slab" w:eastAsia="宋体" w:hAnsi="Roboto Slab" w:cs="Roboto Slab"/>
          <w:b/>
          <w:bCs/>
          <w:color w:val="1F1F1F"/>
          <w:kern w:val="0"/>
          <w:sz w:val="27"/>
          <w:szCs w:val="27"/>
        </w:rPr>
        <w:lastRenderedPageBreak/>
        <w:t>FATF vs. EU: General Stance on DeFi</w:t>
      </w:r>
    </w:p>
    <w:p w14:paraId="7A60D8AA"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b/>
          <w:bCs/>
          <w:color w:val="1F1F1F"/>
          <w:kern w:val="0"/>
          <w:sz w:val="24"/>
          <w:szCs w:val="24"/>
        </w:rPr>
        <w:t>F</w:t>
      </w:r>
      <w:r w:rsidRPr="00E633D6">
        <w:rPr>
          <w:rFonts w:ascii="MS Gothic" w:eastAsia="MS Gothic" w:hAnsi="MS Gothic" w:cs="MS Gothic" w:hint="eastAsia"/>
          <w:color w:val="1F1F1F"/>
          <w:kern w:val="0"/>
          <w:sz w:val="24"/>
          <w:szCs w:val="24"/>
        </w:rPr>
        <w:t>‍</w:t>
      </w:r>
      <w:r w:rsidRPr="00E633D6">
        <w:rPr>
          <w:rFonts w:ascii="Open Sans" w:eastAsia="宋体" w:hAnsi="Open Sans" w:cs="Open Sans"/>
          <w:b/>
          <w:bCs/>
          <w:color w:val="1F1F1F"/>
          <w:kern w:val="0"/>
          <w:sz w:val="24"/>
          <w:szCs w:val="24"/>
        </w:rPr>
        <w:t>ATF: </w:t>
      </w:r>
      <w:commentRangeStart w:id="5"/>
      <w:r w:rsidRPr="00E633D6">
        <w:rPr>
          <w:rFonts w:ascii="Open Sans" w:eastAsia="宋体" w:hAnsi="Open Sans" w:cs="Open Sans"/>
          <w:color w:val="1F1F1F"/>
          <w:kern w:val="0"/>
          <w:sz w:val="24"/>
          <w:szCs w:val="24"/>
        </w:rPr>
        <w:t xml:space="preserve">The </w:t>
      </w:r>
      <w:commentRangeEnd w:id="5"/>
      <w:r w:rsidR="00F03834">
        <w:rPr>
          <w:rStyle w:val="ac"/>
        </w:rPr>
        <w:commentReference w:id="5"/>
      </w:r>
      <w:r w:rsidRPr="00E633D6">
        <w:rPr>
          <w:rFonts w:ascii="Open Sans" w:eastAsia="宋体" w:hAnsi="Open Sans" w:cs="Open Sans"/>
          <w:color w:val="1F1F1F"/>
          <w:kern w:val="0"/>
          <w:sz w:val="24"/>
          <w:szCs w:val="24"/>
        </w:rPr>
        <w:t xml:space="preserve">FATF expects countries to determine whether an identifiable person is a VASP within the DeFi arrangement </w:t>
      </w:r>
      <w:r w:rsidRPr="00E633D6">
        <w:rPr>
          <w:rFonts w:ascii="Open Sans" w:eastAsia="宋体" w:hAnsi="Open Sans" w:cs="Open Sans"/>
          <w:color w:val="1F1F1F"/>
          <w:kern w:val="0"/>
          <w:sz w:val="24"/>
          <w:szCs w:val="24"/>
          <w:highlight w:val="yellow"/>
        </w:rPr>
        <w:t>on a case-by-case basis</w:t>
      </w:r>
      <w:r w:rsidRPr="00E633D6">
        <w:rPr>
          <w:rFonts w:ascii="Open Sans" w:eastAsia="宋体" w:hAnsi="Open Sans" w:cs="Open Sans"/>
          <w:color w:val="1F1F1F"/>
          <w:kern w:val="0"/>
          <w:sz w:val="24"/>
          <w:szCs w:val="24"/>
        </w:rPr>
        <w:t>, according to a broad interpretation of the definitions provided in the FATF’s standards.</w:t>
      </w:r>
    </w:p>
    <w:p w14:paraId="7064F807"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b/>
          <w:bCs/>
          <w:color w:val="1F1F1F"/>
          <w:kern w:val="0"/>
          <w:sz w:val="24"/>
          <w:szCs w:val="24"/>
        </w:rPr>
        <w:t>EU: </w:t>
      </w:r>
      <w:r w:rsidRPr="00E633D6">
        <w:rPr>
          <w:rFonts w:ascii="Open Sans" w:eastAsia="宋体" w:hAnsi="Open Sans" w:cs="Open Sans"/>
          <w:color w:val="1F1F1F"/>
          <w:kern w:val="0"/>
          <w:sz w:val="24"/>
          <w:szCs w:val="24"/>
        </w:rPr>
        <w:t>The European Commission has expressed its view that traditional regulatory approaches may not be a suitable fit for the decentralized environment of DeFi platforms. Instead of relying on entity-based regulation, the Commission is considering a shift toward an </w:t>
      </w:r>
      <w:r w:rsidRPr="00E633D6">
        <w:rPr>
          <w:rFonts w:ascii="Open Sans" w:eastAsia="宋体" w:hAnsi="Open Sans" w:cs="Open Sans"/>
          <w:b/>
          <w:bCs/>
          <w:color w:val="1F1F1F"/>
          <w:kern w:val="0"/>
          <w:sz w:val="24"/>
          <w:szCs w:val="24"/>
          <w:highlight w:val="yellow"/>
        </w:rPr>
        <w:t>activity-based regulatory approach</w:t>
      </w:r>
      <w:r w:rsidRPr="00E633D6">
        <w:rPr>
          <w:rFonts w:ascii="Open Sans" w:eastAsia="宋体" w:hAnsi="Open Sans" w:cs="Open Sans"/>
          <w:color w:val="1F1F1F"/>
          <w:kern w:val="0"/>
          <w:sz w:val="24"/>
          <w:szCs w:val="24"/>
        </w:rPr>
        <w:t>, which may better align with the dynamic and decentralized nature of DeFi.</w:t>
      </w:r>
    </w:p>
    <w:p w14:paraId="6C8C1190"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color w:val="1F1F1F"/>
          <w:kern w:val="0"/>
          <w:sz w:val="24"/>
          <w:szCs w:val="24"/>
        </w:rPr>
        <w:t>To implement this approach, the Commission proposes a few access points for DeFi regulation:</w:t>
      </w:r>
    </w:p>
    <w:p w14:paraId="548AA63D" w14:textId="77777777" w:rsidR="00E633D6" w:rsidRPr="00E633D6" w:rsidRDefault="00E633D6" w:rsidP="00E633D6">
      <w:pPr>
        <w:widowControl/>
        <w:numPr>
          <w:ilvl w:val="0"/>
          <w:numId w:val="2"/>
        </w:numPr>
        <w:shd w:val="clear" w:color="auto" w:fill="FFFFFF"/>
        <w:spacing w:before="100" w:beforeAutospacing="1" w:after="60" w:line="432" w:lineRule="atLeast"/>
        <w:jc w:val="left"/>
        <w:rPr>
          <w:rFonts w:ascii="Open Sans" w:eastAsia="宋体" w:hAnsi="Open Sans" w:cs="Open Sans"/>
          <w:color w:val="1F1F1F"/>
          <w:kern w:val="0"/>
          <w:sz w:val="24"/>
          <w:szCs w:val="24"/>
        </w:rPr>
      </w:pPr>
      <w:commentRangeStart w:id="6"/>
      <w:r w:rsidRPr="00E633D6">
        <w:rPr>
          <w:rFonts w:ascii="Open Sans" w:eastAsia="宋体" w:hAnsi="Open Sans" w:cs="Open Sans"/>
          <w:color w:val="1F1F1F"/>
          <w:kern w:val="0"/>
          <w:sz w:val="24"/>
          <w:szCs w:val="24"/>
        </w:rPr>
        <w:t xml:space="preserve">regulating </w:t>
      </w:r>
      <w:commentRangeEnd w:id="6"/>
      <w:r w:rsidR="008D6FAB">
        <w:rPr>
          <w:rStyle w:val="ac"/>
        </w:rPr>
        <w:commentReference w:id="6"/>
      </w:r>
      <w:r w:rsidRPr="00E633D6">
        <w:rPr>
          <w:rFonts w:ascii="Open Sans" w:eastAsia="宋体" w:hAnsi="Open Sans" w:cs="Open Sans"/>
          <w:color w:val="1F1F1F"/>
          <w:kern w:val="0"/>
          <w:sz w:val="24"/>
          <w:szCs w:val="24"/>
        </w:rPr>
        <w:t>the connections between regulated entities and DeFi platforms</w:t>
      </w:r>
    </w:p>
    <w:p w14:paraId="661865C6" w14:textId="77777777" w:rsidR="00E633D6" w:rsidRPr="00E633D6" w:rsidRDefault="00E633D6" w:rsidP="00E633D6">
      <w:pPr>
        <w:widowControl/>
        <w:numPr>
          <w:ilvl w:val="0"/>
          <w:numId w:val="2"/>
        </w:numPr>
        <w:shd w:val="clear" w:color="auto" w:fill="FFFFFF"/>
        <w:spacing w:before="100" w:beforeAutospacing="1" w:after="60" w:line="432" w:lineRule="atLeast"/>
        <w:jc w:val="left"/>
        <w:rPr>
          <w:rFonts w:ascii="Open Sans" w:eastAsia="宋体" w:hAnsi="Open Sans" w:cs="Open Sans"/>
          <w:color w:val="1F1F1F"/>
          <w:kern w:val="0"/>
          <w:sz w:val="24"/>
          <w:szCs w:val="24"/>
        </w:rPr>
      </w:pPr>
      <w:commentRangeStart w:id="7"/>
      <w:r w:rsidRPr="00E633D6">
        <w:rPr>
          <w:rFonts w:ascii="Open Sans" w:eastAsia="宋体" w:hAnsi="Open Sans" w:cs="Open Sans"/>
          <w:color w:val="1F1F1F"/>
          <w:kern w:val="0"/>
          <w:sz w:val="24"/>
          <w:szCs w:val="24"/>
        </w:rPr>
        <w:t xml:space="preserve">regulating </w:t>
      </w:r>
      <w:commentRangeEnd w:id="7"/>
      <w:r w:rsidR="00092CD3">
        <w:rPr>
          <w:rStyle w:val="ac"/>
        </w:rPr>
        <w:commentReference w:id="7"/>
      </w:r>
      <w:r w:rsidRPr="00E633D6">
        <w:rPr>
          <w:rFonts w:ascii="Open Sans" w:eastAsia="宋体" w:hAnsi="Open Sans" w:cs="Open Sans"/>
          <w:color w:val="1F1F1F"/>
          <w:kern w:val="0"/>
          <w:sz w:val="24"/>
          <w:szCs w:val="24"/>
        </w:rPr>
        <w:t>the features of smart contracts targeting the project team behind the specific DeFi application, and</w:t>
      </w:r>
    </w:p>
    <w:p w14:paraId="5105412F" w14:textId="77777777" w:rsidR="00E633D6" w:rsidRPr="00E633D6" w:rsidRDefault="00E633D6" w:rsidP="00E633D6">
      <w:pPr>
        <w:widowControl/>
        <w:numPr>
          <w:ilvl w:val="0"/>
          <w:numId w:val="2"/>
        </w:numPr>
        <w:shd w:val="clear" w:color="auto" w:fill="FFFFFF"/>
        <w:spacing w:before="100" w:beforeAutospacing="1" w:after="60" w:line="432" w:lineRule="atLeast"/>
        <w:jc w:val="left"/>
        <w:rPr>
          <w:rFonts w:ascii="Open Sans" w:eastAsia="宋体" w:hAnsi="Open Sans" w:cs="Open Sans"/>
          <w:color w:val="1F1F1F"/>
          <w:kern w:val="0"/>
          <w:sz w:val="24"/>
          <w:szCs w:val="24"/>
        </w:rPr>
      </w:pPr>
      <w:commentRangeStart w:id="8"/>
      <w:r w:rsidRPr="00E633D6">
        <w:rPr>
          <w:rFonts w:ascii="Open Sans" w:eastAsia="宋体" w:hAnsi="Open Sans" w:cs="Open Sans"/>
          <w:color w:val="1F1F1F"/>
          <w:kern w:val="0"/>
          <w:sz w:val="24"/>
          <w:szCs w:val="24"/>
        </w:rPr>
        <w:t xml:space="preserve">utilizing </w:t>
      </w:r>
      <w:commentRangeEnd w:id="8"/>
      <w:r w:rsidR="00092CD3">
        <w:rPr>
          <w:rStyle w:val="ac"/>
        </w:rPr>
        <w:commentReference w:id="8"/>
      </w:r>
      <w:r w:rsidRPr="00E633D6">
        <w:rPr>
          <w:rFonts w:ascii="Open Sans" w:eastAsia="宋体" w:hAnsi="Open Sans" w:cs="Open Sans"/>
          <w:color w:val="1F1F1F"/>
          <w:kern w:val="0"/>
          <w:sz w:val="24"/>
          <w:szCs w:val="24"/>
        </w:rPr>
        <w:t>embedded supervision to capitalize on the inherent data transparency offered by public blockchains, making it easier to monitor and oversee DeFi activities.</w:t>
      </w:r>
    </w:p>
    <w:p w14:paraId="51A28343"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MS Gothic" w:eastAsia="MS Gothic" w:hAnsi="MS Gothic" w:cs="MS Gothic"/>
          <w:color w:val="1F1F1F"/>
          <w:kern w:val="0"/>
          <w:sz w:val="24"/>
          <w:szCs w:val="24"/>
        </w:rPr>
        <w:lastRenderedPageBreak/>
        <w:t>‍</w:t>
      </w:r>
    </w:p>
    <w:p w14:paraId="62927D5A" w14:textId="77777777" w:rsidR="00E633D6" w:rsidRPr="00E633D6" w:rsidRDefault="00E633D6" w:rsidP="00E633D6">
      <w:pPr>
        <w:widowControl/>
        <w:shd w:val="clear" w:color="auto" w:fill="FFFFFF"/>
        <w:spacing w:before="100" w:beforeAutospacing="1" w:after="100" w:afterAutospacing="1" w:line="562" w:lineRule="atLeast"/>
        <w:jc w:val="left"/>
        <w:outlineLvl w:val="2"/>
        <w:rPr>
          <w:rFonts w:ascii="Roboto Slab" w:eastAsia="宋体" w:hAnsi="Roboto Slab" w:cs="Roboto Slab"/>
          <w:b/>
          <w:bCs/>
          <w:color w:val="1F1F1F"/>
          <w:kern w:val="0"/>
          <w:sz w:val="27"/>
          <w:szCs w:val="27"/>
        </w:rPr>
      </w:pPr>
      <w:r w:rsidRPr="00E633D6">
        <w:rPr>
          <w:rFonts w:ascii="Roboto Slab" w:eastAsia="宋体" w:hAnsi="Roboto Slab" w:cs="Roboto Slab"/>
          <w:b/>
          <w:bCs/>
          <w:color w:val="1F1F1F"/>
          <w:kern w:val="0"/>
          <w:sz w:val="27"/>
          <w:szCs w:val="27"/>
        </w:rPr>
        <w:t>FATF vs. EU: Is DeFi Regulated?</w:t>
      </w:r>
    </w:p>
    <w:p w14:paraId="28DFC1A2"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MS Gothic" w:eastAsia="MS Gothic" w:hAnsi="MS Gothic" w:cs="MS Gothic"/>
          <w:color w:val="1F1F1F"/>
          <w:kern w:val="0"/>
          <w:sz w:val="24"/>
          <w:szCs w:val="24"/>
        </w:rPr>
        <w:t>‍</w:t>
      </w:r>
    </w:p>
    <w:p w14:paraId="2B1438D2" w14:textId="4FB73A2B" w:rsidR="00E633D6" w:rsidRPr="00E633D6" w:rsidRDefault="00E633D6" w:rsidP="00E633D6">
      <w:pPr>
        <w:widowControl/>
        <w:shd w:val="clear" w:color="auto" w:fill="FFFFFF"/>
        <w:jc w:val="left"/>
        <w:rPr>
          <w:rFonts w:ascii="Open Sans" w:eastAsia="宋体" w:hAnsi="Open Sans" w:cs="Open Sans"/>
          <w:color w:val="1F1F1F"/>
          <w:kern w:val="0"/>
          <w:sz w:val="2"/>
          <w:szCs w:val="2"/>
        </w:rPr>
      </w:pPr>
      <w:r w:rsidRPr="00E633D6">
        <w:rPr>
          <w:rFonts w:ascii="Open Sans" w:eastAsia="宋体" w:hAnsi="Open Sans" w:cs="Open Sans"/>
          <w:noProof/>
          <w:color w:val="1F1F1F"/>
          <w:kern w:val="0"/>
          <w:sz w:val="2"/>
          <w:szCs w:val="2"/>
        </w:rPr>
        <w:drawing>
          <wp:inline distT="0" distB="0" distL="0" distR="0" wp14:anchorId="3D096A1E" wp14:editId="0EF26FC1">
            <wp:extent cx="5274310" cy="3282950"/>
            <wp:effectExtent l="0" t="0" r="2540" b="0"/>
            <wp:docPr id="1586153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3282950"/>
                    </a:xfrm>
                    <a:prstGeom prst="rect">
                      <a:avLst/>
                    </a:prstGeom>
                    <a:noFill/>
                    <a:ln>
                      <a:noFill/>
                    </a:ln>
                  </pic:spPr>
                </pic:pic>
              </a:graphicData>
            </a:graphic>
          </wp:inline>
        </w:drawing>
      </w:r>
    </w:p>
    <w:p w14:paraId="41D4A961"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b/>
          <w:bCs/>
          <w:color w:val="1F1F1F"/>
          <w:kern w:val="0"/>
          <w:sz w:val="24"/>
          <w:szCs w:val="24"/>
        </w:rPr>
        <w:t>FATF: </w:t>
      </w:r>
      <w:r w:rsidRPr="00E633D6">
        <w:rPr>
          <w:rFonts w:ascii="Open Sans" w:eastAsia="宋体" w:hAnsi="Open Sans" w:cs="Open Sans"/>
          <w:color w:val="1F1F1F"/>
          <w:kern w:val="0"/>
          <w:sz w:val="24"/>
          <w:szCs w:val="24"/>
        </w:rPr>
        <w:t>According to the FATF, a DeFi software application could not inherently qualify as a VASP. Instead, entities that maintain "</w:t>
      </w:r>
      <w:r w:rsidRPr="00E633D6">
        <w:rPr>
          <w:rFonts w:ascii="Open Sans" w:eastAsia="宋体" w:hAnsi="Open Sans" w:cs="Open Sans"/>
          <w:color w:val="1F1F1F"/>
          <w:kern w:val="0"/>
          <w:sz w:val="24"/>
          <w:szCs w:val="24"/>
          <w:highlight w:val="yellow"/>
        </w:rPr>
        <w:t>control or sufficient influence</w:t>
      </w:r>
      <w:r w:rsidRPr="00E633D6">
        <w:rPr>
          <w:rFonts w:ascii="Open Sans" w:eastAsia="宋体" w:hAnsi="Open Sans" w:cs="Open Sans"/>
          <w:color w:val="1F1F1F"/>
          <w:kern w:val="0"/>
          <w:sz w:val="24"/>
          <w:szCs w:val="24"/>
        </w:rPr>
        <w:t xml:space="preserve">" over a DeFi protocol should be subject to </w:t>
      </w:r>
      <w:r w:rsidRPr="00E633D6">
        <w:rPr>
          <w:rFonts w:ascii="Open Sans" w:eastAsia="宋体" w:hAnsi="Open Sans" w:cs="Open Sans"/>
          <w:color w:val="1F1F1F"/>
          <w:kern w:val="0"/>
          <w:sz w:val="24"/>
          <w:szCs w:val="24"/>
          <w:highlight w:val="yellow"/>
        </w:rPr>
        <w:t>AML and CFT obligations</w:t>
      </w:r>
      <w:r w:rsidRPr="00E633D6">
        <w:rPr>
          <w:rFonts w:ascii="Open Sans" w:eastAsia="宋体" w:hAnsi="Open Sans" w:cs="Open Sans"/>
          <w:color w:val="1F1F1F"/>
          <w:kern w:val="0"/>
          <w:sz w:val="24"/>
          <w:szCs w:val="24"/>
        </w:rPr>
        <w:t xml:space="preserve"> if they provide or facilitate VASP services. This would apply to entities with an ongoing business relationship with DeFi protocol users, those </w:t>
      </w:r>
      <w:r w:rsidRPr="00E633D6">
        <w:rPr>
          <w:rFonts w:ascii="Open Sans" w:eastAsia="宋体" w:hAnsi="Open Sans" w:cs="Open Sans"/>
          <w:color w:val="1F1F1F"/>
          <w:kern w:val="0"/>
          <w:sz w:val="24"/>
          <w:szCs w:val="24"/>
          <w:highlight w:val="yellow"/>
        </w:rPr>
        <w:t>profiting from the DeFi service</w:t>
      </w:r>
      <w:r w:rsidRPr="00E633D6">
        <w:rPr>
          <w:rFonts w:ascii="Open Sans" w:eastAsia="宋体" w:hAnsi="Open Sans" w:cs="Open Sans"/>
          <w:color w:val="1F1F1F"/>
          <w:kern w:val="0"/>
          <w:sz w:val="24"/>
          <w:szCs w:val="24"/>
        </w:rPr>
        <w:t xml:space="preserve">, or those with the ability to </w:t>
      </w:r>
      <w:r w:rsidRPr="00E633D6">
        <w:rPr>
          <w:rFonts w:ascii="Open Sans" w:eastAsia="宋体" w:hAnsi="Open Sans" w:cs="Open Sans"/>
          <w:color w:val="1F1F1F"/>
          <w:kern w:val="0"/>
          <w:sz w:val="24"/>
          <w:szCs w:val="24"/>
          <w:highlight w:val="yellow"/>
        </w:rPr>
        <w:t>set or change the parameters</w:t>
      </w:r>
      <w:r w:rsidRPr="00E633D6">
        <w:rPr>
          <w:rFonts w:ascii="Open Sans" w:eastAsia="宋体" w:hAnsi="Open Sans" w:cs="Open Sans"/>
          <w:color w:val="1F1F1F"/>
          <w:kern w:val="0"/>
          <w:sz w:val="24"/>
          <w:szCs w:val="24"/>
        </w:rPr>
        <w:t xml:space="preserve"> of the DeFi protocol.</w:t>
      </w:r>
    </w:p>
    <w:p w14:paraId="1672C6F5"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color w:val="1F1F1F"/>
          <w:kern w:val="0"/>
          <w:sz w:val="24"/>
          <w:szCs w:val="24"/>
        </w:rPr>
        <w:t xml:space="preserve">However, the FATF recognizes that identifying entities with control or substantial influence over a DeFi arrangement can be </w:t>
      </w:r>
      <w:r w:rsidRPr="00E633D6">
        <w:rPr>
          <w:rFonts w:ascii="Open Sans" w:eastAsia="宋体" w:hAnsi="Open Sans" w:cs="Open Sans"/>
          <w:color w:val="1F1F1F"/>
          <w:kern w:val="0"/>
          <w:sz w:val="24"/>
          <w:szCs w:val="24"/>
          <w:highlight w:val="yellow"/>
        </w:rPr>
        <w:t>challenging</w:t>
      </w:r>
      <w:r w:rsidRPr="00E633D6">
        <w:rPr>
          <w:rFonts w:ascii="Open Sans" w:eastAsia="宋体" w:hAnsi="Open Sans" w:cs="Open Sans"/>
          <w:color w:val="1F1F1F"/>
          <w:kern w:val="0"/>
          <w:sz w:val="24"/>
          <w:szCs w:val="24"/>
        </w:rPr>
        <w:t xml:space="preserve">, and in </w:t>
      </w:r>
      <w:r w:rsidRPr="00E633D6">
        <w:rPr>
          <w:rFonts w:ascii="Open Sans" w:eastAsia="宋体" w:hAnsi="Open Sans" w:cs="Open Sans"/>
          <w:color w:val="1F1F1F"/>
          <w:kern w:val="0"/>
          <w:sz w:val="24"/>
          <w:szCs w:val="24"/>
        </w:rPr>
        <w:lastRenderedPageBreak/>
        <w:t>some cases, a VASP might not even exist. They recommend that countries assess the risks posed by these activities and adopt appropriate risk mitigation measures. </w:t>
      </w:r>
      <w:r w:rsidRPr="00E633D6">
        <w:rPr>
          <w:rFonts w:ascii="Open Sans" w:eastAsia="宋体" w:hAnsi="Open Sans" w:cs="Open Sans"/>
          <w:color w:val="1F1F1F"/>
          <w:kern w:val="0"/>
          <w:sz w:val="18"/>
          <w:szCs w:val="18"/>
          <w:vertAlign w:val="superscript"/>
        </w:rPr>
        <w:t>[1]</w:t>
      </w:r>
      <w:r w:rsidRPr="00E633D6">
        <w:rPr>
          <w:rFonts w:ascii="Open Sans" w:eastAsia="宋体" w:hAnsi="Open Sans" w:cs="Open Sans"/>
          <w:color w:val="1F1F1F"/>
          <w:kern w:val="0"/>
          <w:sz w:val="24"/>
          <w:szCs w:val="24"/>
        </w:rPr>
        <w:t> This could include requiring regulated VASPs to be involved in the activities of the DeFi arrangement if deemed necessary. The FATF also clarifies that holding governance tokens of a DeFi protocol does not automatically qualify someone as a VASP, unless they can control or substantially influence the protocol’s governance.</w:t>
      </w:r>
      <w:r w:rsidRPr="00E633D6">
        <w:rPr>
          <w:rFonts w:ascii="Open Sans" w:eastAsia="宋体" w:hAnsi="Open Sans" w:cs="Open Sans"/>
          <w:color w:val="1F1F1F"/>
          <w:kern w:val="0"/>
          <w:sz w:val="18"/>
          <w:szCs w:val="18"/>
          <w:vertAlign w:val="superscript"/>
        </w:rPr>
        <w:t>[2]</w:t>
      </w:r>
    </w:p>
    <w:p w14:paraId="4C475AE0"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b/>
          <w:bCs/>
          <w:color w:val="1F1F1F"/>
          <w:kern w:val="0"/>
          <w:sz w:val="24"/>
          <w:szCs w:val="24"/>
        </w:rPr>
        <w:t>EU:</w:t>
      </w:r>
      <w:r w:rsidRPr="00E633D6">
        <w:rPr>
          <w:rFonts w:ascii="Open Sans" w:eastAsia="宋体" w:hAnsi="Open Sans" w:cs="Open Sans"/>
          <w:color w:val="1F1F1F"/>
          <w:kern w:val="0"/>
          <w:sz w:val="24"/>
          <w:szCs w:val="24"/>
        </w:rPr>
        <w:t xml:space="preserve"> Under MiCA, crypto-asset services that are fully decentralized without any intermediary do not fall within the regulation’s scope. However, if there are natural, legal persons or other undertakings that </w:t>
      </w:r>
      <w:r w:rsidRPr="00E633D6">
        <w:rPr>
          <w:rFonts w:ascii="Open Sans" w:eastAsia="宋体" w:hAnsi="Open Sans" w:cs="Open Sans"/>
          <w:color w:val="1F1F1F"/>
          <w:kern w:val="0"/>
          <w:sz w:val="24"/>
          <w:szCs w:val="24"/>
          <w:highlight w:val="yellow"/>
        </w:rPr>
        <w:t>provide or control</w:t>
      </w:r>
      <w:r w:rsidRPr="00E633D6">
        <w:rPr>
          <w:rFonts w:ascii="Open Sans" w:eastAsia="宋体" w:hAnsi="Open Sans" w:cs="Open Sans"/>
          <w:color w:val="1F1F1F"/>
          <w:kern w:val="0"/>
          <w:sz w:val="24"/>
          <w:szCs w:val="24"/>
        </w:rPr>
        <w:t>, directly or indirectly, a regulated activity or service (i.e., service of exchange of crypto-assets for other crypto-assets or the operation of a trading platform for crypto-assets), even if the service or activity is performed in a decentralized way, it would be subject to the MiCA’s scope.</w:t>
      </w:r>
      <w:r w:rsidRPr="00E633D6">
        <w:rPr>
          <w:rFonts w:ascii="Open Sans" w:eastAsia="宋体" w:hAnsi="Open Sans" w:cs="Open Sans"/>
          <w:color w:val="1F1F1F"/>
          <w:kern w:val="0"/>
          <w:sz w:val="18"/>
          <w:szCs w:val="18"/>
          <w:vertAlign w:val="superscript"/>
        </w:rPr>
        <w:t>[3]</w:t>
      </w:r>
    </w:p>
    <w:p w14:paraId="68763437"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MS Gothic" w:eastAsia="MS Gothic" w:hAnsi="MS Gothic" w:cs="MS Gothic"/>
          <w:color w:val="1F1F1F"/>
          <w:kern w:val="0"/>
          <w:sz w:val="24"/>
          <w:szCs w:val="24"/>
        </w:rPr>
        <w:t>‍</w:t>
      </w:r>
    </w:p>
    <w:p w14:paraId="19BE10F4" w14:textId="77777777" w:rsidR="00E633D6" w:rsidRPr="00E633D6" w:rsidRDefault="00E633D6" w:rsidP="00E633D6">
      <w:pPr>
        <w:widowControl/>
        <w:shd w:val="clear" w:color="auto" w:fill="FFFFFF"/>
        <w:spacing w:before="100" w:beforeAutospacing="1" w:after="100" w:afterAutospacing="1" w:line="562" w:lineRule="atLeast"/>
        <w:jc w:val="left"/>
        <w:outlineLvl w:val="2"/>
        <w:rPr>
          <w:rFonts w:ascii="Roboto Slab" w:eastAsia="宋体" w:hAnsi="Roboto Slab" w:cs="Roboto Slab"/>
          <w:b/>
          <w:bCs/>
          <w:color w:val="1F1F1F"/>
          <w:kern w:val="0"/>
          <w:sz w:val="27"/>
          <w:szCs w:val="27"/>
        </w:rPr>
      </w:pPr>
      <w:r w:rsidRPr="00E633D6">
        <w:rPr>
          <w:rFonts w:ascii="Roboto Slab" w:eastAsia="宋体" w:hAnsi="Roboto Slab" w:cs="Roboto Slab"/>
          <w:b/>
          <w:bCs/>
          <w:color w:val="1F1F1F"/>
          <w:kern w:val="0"/>
          <w:sz w:val="27"/>
          <w:szCs w:val="27"/>
        </w:rPr>
        <w:t xml:space="preserve">FATF vs. EU: </w:t>
      </w:r>
      <w:r w:rsidRPr="00E633D6">
        <w:rPr>
          <w:rFonts w:ascii="Roboto Slab" w:eastAsia="宋体" w:hAnsi="Roboto Slab" w:cs="Roboto Slab"/>
          <w:b/>
          <w:bCs/>
          <w:color w:val="1F1F1F"/>
          <w:kern w:val="0"/>
          <w:sz w:val="27"/>
          <w:szCs w:val="27"/>
          <w:highlight w:val="yellow"/>
        </w:rPr>
        <w:t>Continuous DeFi Monitoring and Assessment</w:t>
      </w:r>
    </w:p>
    <w:p w14:paraId="2B9D147E"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b/>
          <w:bCs/>
          <w:color w:val="1F1F1F"/>
          <w:kern w:val="0"/>
          <w:sz w:val="24"/>
          <w:szCs w:val="24"/>
        </w:rPr>
        <w:t>FATF: </w:t>
      </w:r>
      <w:r w:rsidRPr="00E633D6">
        <w:rPr>
          <w:rFonts w:ascii="Open Sans" w:eastAsia="宋体" w:hAnsi="Open Sans" w:cs="Open Sans"/>
          <w:color w:val="1F1F1F"/>
          <w:kern w:val="0"/>
          <w:sz w:val="24"/>
          <w:szCs w:val="24"/>
        </w:rPr>
        <w:t>In its </w:t>
      </w:r>
      <w:r w:rsidRPr="00E633D6">
        <w:rPr>
          <w:rFonts w:ascii="Open Sans" w:eastAsia="宋体" w:hAnsi="Open Sans" w:cs="Open Sans"/>
          <w:i/>
          <w:iCs/>
          <w:color w:val="1F1F1F"/>
          <w:kern w:val="0"/>
          <w:sz w:val="24"/>
          <w:szCs w:val="24"/>
        </w:rPr>
        <w:t>Targeted Update</w:t>
      </w:r>
      <w:r w:rsidRPr="00E633D6">
        <w:rPr>
          <w:rFonts w:ascii="Open Sans" w:eastAsia="宋体" w:hAnsi="Open Sans" w:cs="Open Sans"/>
          <w:color w:val="1F1F1F"/>
          <w:kern w:val="0"/>
          <w:sz w:val="24"/>
          <w:szCs w:val="24"/>
        </w:rPr>
        <w:t>, the FATF acknowledges that DeFi markets have grown significantly from 2021 to 2022 and promises to “</w:t>
      </w:r>
      <w:r w:rsidRPr="00E633D6">
        <w:rPr>
          <w:rFonts w:ascii="Open Sans" w:eastAsia="宋体" w:hAnsi="Open Sans" w:cs="Open Sans"/>
          <w:i/>
          <w:iCs/>
          <w:color w:val="1F1F1F"/>
          <w:kern w:val="0"/>
          <w:sz w:val="24"/>
          <w:szCs w:val="24"/>
          <w:highlight w:val="yellow"/>
        </w:rPr>
        <w:t xml:space="preserve">continue to monitor developments in DeFi, particularly the emergence of truly </w:t>
      </w:r>
      <w:r w:rsidRPr="00E633D6">
        <w:rPr>
          <w:rFonts w:ascii="Open Sans" w:eastAsia="宋体" w:hAnsi="Open Sans" w:cs="Open Sans"/>
          <w:i/>
          <w:iCs/>
          <w:color w:val="1F1F1F"/>
          <w:kern w:val="0"/>
          <w:sz w:val="24"/>
          <w:szCs w:val="24"/>
          <w:highlight w:val="yellow"/>
        </w:rPr>
        <w:lastRenderedPageBreak/>
        <w:t>decentralized DeFi entities, and to facilitate dialogue on common AML/CFT implementation challenges, risk assessment, and good practices</w:t>
      </w:r>
      <w:r w:rsidRPr="00E633D6">
        <w:rPr>
          <w:rFonts w:ascii="Open Sans" w:eastAsia="宋体" w:hAnsi="Open Sans" w:cs="Open Sans"/>
          <w:color w:val="1F1F1F"/>
          <w:kern w:val="0"/>
          <w:sz w:val="24"/>
          <w:szCs w:val="24"/>
          <w:highlight w:val="yellow"/>
        </w:rPr>
        <w:t>.</w:t>
      </w:r>
      <w:r w:rsidRPr="00E633D6">
        <w:rPr>
          <w:rFonts w:ascii="Open Sans" w:eastAsia="宋体" w:hAnsi="Open Sans" w:cs="Open Sans"/>
          <w:color w:val="1F1F1F"/>
          <w:kern w:val="0"/>
          <w:sz w:val="24"/>
          <w:szCs w:val="24"/>
        </w:rPr>
        <w:t>” </w:t>
      </w:r>
      <w:r w:rsidRPr="00E633D6">
        <w:rPr>
          <w:rFonts w:ascii="Open Sans" w:eastAsia="宋体" w:hAnsi="Open Sans" w:cs="Open Sans"/>
          <w:color w:val="1F1F1F"/>
          <w:kern w:val="0"/>
          <w:sz w:val="18"/>
          <w:szCs w:val="18"/>
          <w:vertAlign w:val="superscript"/>
        </w:rPr>
        <w:t>[4]</w:t>
      </w:r>
    </w:p>
    <w:p w14:paraId="4427F3EC"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b/>
          <w:bCs/>
          <w:color w:val="1F1F1F"/>
          <w:kern w:val="0"/>
          <w:sz w:val="24"/>
          <w:szCs w:val="24"/>
        </w:rPr>
        <w:t>EU: </w:t>
      </w:r>
      <w:r w:rsidRPr="00E633D6">
        <w:rPr>
          <w:rFonts w:ascii="Open Sans" w:eastAsia="宋体" w:hAnsi="Open Sans" w:cs="Open Sans"/>
          <w:color w:val="1F1F1F"/>
          <w:kern w:val="0"/>
          <w:sz w:val="24"/>
          <w:szCs w:val="24"/>
        </w:rPr>
        <w:t>After consulting with the European Banking Authority (EBA) and the European Securities and Markets Authority (ESMA), the European Commission plans to deliver a series of reports to the European Parliament and Council on the latest crypto-asset developments. These reports, particularly concerning areas not yet covered by existing regulations, may inform potential new legislation.</w:t>
      </w:r>
    </w:p>
    <w:p w14:paraId="4BC58FE2"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b/>
          <w:bCs/>
          <w:color w:val="1F1F1F"/>
          <w:kern w:val="0"/>
          <w:sz w:val="24"/>
          <w:szCs w:val="24"/>
        </w:rPr>
        <w:t>Report on the latest developments in crypto-assets,</w:t>
      </w:r>
      <w:r w:rsidRPr="00E633D6">
        <w:rPr>
          <w:rFonts w:ascii="Open Sans" w:eastAsia="宋体" w:hAnsi="Open Sans" w:cs="Open Sans"/>
          <w:color w:val="1F1F1F"/>
          <w:kern w:val="0"/>
          <w:sz w:val="24"/>
          <w:szCs w:val="24"/>
        </w:rPr>
        <w:t> expected by December 30, 2024, is due to include “an assessment of the development of decentralised-finance in markets in crypto-assets and of the appropriate regulatory treatment of decentralised crypto-asset systems without an issuer or crypto-asset service provider, including an assessment of the necessity and feasibility of regulating decentralised finance.” </w:t>
      </w:r>
      <w:r w:rsidRPr="00E633D6">
        <w:rPr>
          <w:rFonts w:ascii="Open Sans" w:eastAsia="宋体" w:hAnsi="Open Sans" w:cs="Open Sans"/>
          <w:color w:val="1F1F1F"/>
          <w:kern w:val="0"/>
          <w:sz w:val="18"/>
          <w:szCs w:val="18"/>
          <w:vertAlign w:val="superscript"/>
        </w:rPr>
        <w:t>[5] </w:t>
      </w:r>
    </w:p>
    <w:p w14:paraId="752DA132"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b/>
          <w:bCs/>
          <w:color w:val="1F1F1F"/>
          <w:kern w:val="0"/>
          <w:sz w:val="24"/>
          <w:szCs w:val="24"/>
        </w:rPr>
        <w:br/>
        <w:t>Reports on the application of this Regulation, </w:t>
      </w:r>
      <w:r w:rsidRPr="00E633D6">
        <w:rPr>
          <w:rFonts w:ascii="Open Sans" w:eastAsia="宋体" w:hAnsi="Open Sans" w:cs="Open Sans"/>
          <w:color w:val="1F1F1F"/>
          <w:kern w:val="0"/>
          <w:sz w:val="24"/>
          <w:szCs w:val="24"/>
        </w:rPr>
        <w:t xml:space="preserve">expected by June 30, </w:t>
      </w:r>
      <w:r w:rsidRPr="00E633D6">
        <w:rPr>
          <w:rFonts w:ascii="Open Sans" w:eastAsia="宋体" w:hAnsi="Open Sans" w:cs="Open Sans"/>
          <w:color w:val="1F1F1F"/>
          <w:kern w:val="0"/>
          <w:sz w:val="24"/>
          <w:szCs w:val="24"/>
          <w:highlight w:val="yellow"/>
        </w:rPr>
        <w:t>2027</w:t>
      </w:r>
      <w:r w:rsidRPr="00E633D6">
        <w:rPr>
          <w:rFonts w:ascii="Open Sans" w:eastAsia="宋体" w:hAnsi="Open Sans" w:cs="Open Sans"/>
          <w:color w:val="1F1F1F"/>
          <w:kern w:val="0"/>
          <w:sz w:val="24"/>
          <w:szCs w:val="24"/>
        </w:rPr>
        <w:t>,</w:t>
      </w:r>
      <w:r w:rsidRPr="00E633D6">
        <w:rPr>
          <w:rFonts w:ascii="Open Sans" w:eastAsia="宋体" w:hAnsi="Open Sans" w:cs="Open Sans"/>
          <w:b/>
          <w:bCs/>
          <w:color w:val="1F1F1F"/>
          <w:kern w:val="0"/>
          <w:sz w:val="24"/>
          <w:szCs w:val="24"/>
        </w:rPr>
        <w:t> </w:t>
      </w:r>
      <w:r w:rsidRPr="00E633D6">
        <w:rPr>
          <w:rFonts w:ascii="Open Sans" w:eastAsia="宋体" w:hAnsi="Open Sans" w:cs="Open Sans"/>
          <w:color w:val="1F1F1F"/>
          <w:kern w:val="0"/>
          <w:sz w:val="24"/>
          <w:szCs w:val="24"/>
        </w:rPr>
        <w:t>shall include “</w:t>
      </w:r>
      <w:commentRangeStart w:id="9"/>
      <w:r w:rsidRPr="00E633D6">
        <w:rPr>
          <w:rFonts w:ascii="Open Sans" w:eastAsia="宋体" w:hAnsi="Open Sans" w:cs="Open Sans"/>
          <w:color w:val="1F1F1F"/>
          <w:kern w:val="0"/>
          <w:sz w:val="24"/>
          <w:szCs w:val="24"/>
        </w:rPr>
        <w:t>an assessment of the development of decentralised finance in markets in crypto-assets and of the appropriate regulatory treatment of decentralised crypto-asset systems.</w:t>
      </w:r>
      <w:commentRangeEnd w:id="9"/>
      <w:r w:rsidR="005627F9">
        <w:rPr>
          <w:rStyle w:val="ac"/>
        </w:rPr>
        <w:commentReference w:id="9"/>
      </w:r>
      <w:r w:rsidRPr="00E633D6">
        <w:rPr>
          <w:rFonts w:ascii="Open Sans" w:eastAsia="宋体" w:hAnsi="Open Sans" w:cs="Open Sans"/>
          <w:color w:val="1F1F1F"/>
          <w:kern w:val="0"/>
          <w:sz w:val="24"/>
          <w:szCs w:val="24"/>
        </w:rPr>
        <w:t>” </w:t>
      </w:r>
      <w:r w:rsidRPr="00E633D6">
        <w:rPr>
          <w:rFonts w:ascii="Open Sans" w:eastAsia="宋体" w:hAnsi="Open Sans" w:cs="Open Sans"/>
          <w:color w:val="1F1F1F"/>
          <w:kern w:val="0"/>
          <w:sz w:val="18"/>
          <w:szCs w:val="18"/>
          <w:vertAlign w:val="superscript"/>
        </w:rPr>
        <w:t>[6]</w:t>
      </w:r>
      <w:r w:rsidRPr="00E633D6">
        <w:rPr>
          <w:rFonts w:ascii="Open Sans" w:eastAsia="宋体" w:hAnsi="Open Sans" w:cs="Open Sans"/>
          <w:color w:val="1F1F1F"/>
          <w:kern w:val="0"/>
          <w:sz w:val="24"/>
          <w:szCs w:val="24"/>
        </w:rPr>
        <w:br/>
      </w:r>
      <w:r w:rsidRPr="00E633D6">
        <w:rPr>
          <w:rFonts w:ascii="MS Gothic" w:eastAsia="MS Gothic" w:hAnsi="MS Gothic" w:cs="MS Gothic"/>
          <w:color w:val="1F1F1F"/>
          <w:kern w:val="0"/>
          <w:sz w:val="24"/>
          <w:szCs w:val="24"/>
        </w:rPr>
        <w:t>‍</w:t>
      </w:r>
    </w:p>
    <w:p w14:paraId="728E0208" w14:textId="77777777" w:rsidR="00E633D6" w:rsidRPr="00E633D6" w:rsidRDefault="00E633D6" w:rsidP="00E633D6">
      <w:pPr>
        <w:widowControl/>
        <w:shd w:val="clear" w:color="auto" w:fill="FFFFFF"/>
        <w:spacing w:after="240"/>
        <w:jc w:val="left"/>
        <w:rPr>
          <w:rFonts w:ascii="Open Sans" w:eastAsia="宋体" w:hAnsi="Open Sans" w:cs="Open Sans"/>
          <w:color w:val="1F1F1F"/>
          <w:kern w:val="0"/>
          <w:sz w:val="24"/>
          <w:szCs w:val="24"/>
        </w:rPr>
      </w:pPr>
      <w:r w:rsidRPr="00E633D6">
        <w:rPr>
          <w:rFonts w:ascii="Open Sans" w:eastAsia="宋体" w:hAnsi="Open Sans" w:cs="Open Sans"/>
          <w:color w:val="1F1F1F"/>
          <w:kern w:val="0"/>
          <w:sz w:val="24"/>
          <w:szCs w:val="24"/>
        </w:rPr>
        <w:lastRenderedPageBreak/>
        <w:t xml:space="preserve">As the DeFi sector continues to grow and evolve, regulatory authorities around the world are working to develop effective regulatory frameworks that can address the unique challenges posed by decentralized financial systems. The FATF and EU have proposed different approaches to regulating DeFi, with the FATF focusing on </w:t>
      </w:r>
      <w:r w:rsidRPr="00E633D6">
        <w:rPr>
          <w:rFonts w:ascii="Open Sans" w:eastAsia="宋体" w:hAnsi="Open Sans" w:cs="Open Sans"/>
          <w:color w:val="1F1F1F"/>
          <w:kern w:val="0"/>
          <w:sz w:val="24"/>
          <w:szCs w:val="24"/>
          <w:highlight w:val="yellow"/>
        </w:rPr>
        <w:t>identifying VASPs</w:t>
      </w:r>
      <w:r w:rsidRPr="00E633D6">
        <w:rPr>
          <w:rFonts w:ascii="Open Sans" w:eastAsia="宋体" w:hAnsi="Open Sans" w:cs="Open Sans"/>
          <w:color w:val="1F1F1F"/>
          <w:kern w:val="0"/>
          <w:sz w:val="24"/>
          <w:szCs w:val="24"/>
        </w:rPr>
        <w:t xml:space="preserve"> within the DeFi ecosystem and the EU considering an </w:t>
      </w:r>
      <w:r w:rsidRPr="00E633D6">
        <w:rPr>
          <w:rFonts w:ascii="Open Sans" w:eastAsia="宋体" w:hAnsi="Open Sans" w:cs="Open Sans"/>
          <w:color w:val="1F1F1F"/>
          <w:kern w:val="0"/>
          <w:sz w:val="24"/>
          <w:szCs w:val="24"/>
          <w:highlight w:val="yellow"/>
        </w:rPr>
        <w:t>activity-based regulatory approach</w:t>
      </w:r>
      <w:r w:rsidRPr="00E633D6">
        <w:rPr>
          <w:rFonts w:ascii="Open Sans" w:eastAsia="宋体" w:hAnsi="Open Sans" w:cs="Open Sans"/>
          <w:color w:val="1F1F1F"/>
          <w:kern w:val="0"/>
          <w:sz w:val="24"/>
          <w:szCs w:val="24"/>
        </w:rPr>
        <w:t>. Both organizations will continue to monitor the DeFi sector and assess the risks associated with these activities. The rapid growth of the DeFi sector and the increasing interest from institutional and retail investors make it crucial for regulatory authorities to establish clear and effective regulatory frameworks to ensure the sector's continued growth and stability.</w:t>
      </w:r>
    </w:p>
    <w:p w14:paraId="16897B68" w14:textId="77777777" w:rsidR="00852E39" w:rsidRDefault="00852E39"/>
    <w:p w14:paraId="468024A3" w14:textId="6C62763F" w:rsidR="00E633D6" w:rsidRDefault="00000000">
      <w:hyperlink r:id="rId29" w:history="1">
        <w:r w:rsidR="00E633D6" w:rsidRPr="00327F2D">
          <w:rPr>
            <w:rStyle w:val="a8"/>
          </w:rPr>
          <w:t>https://notabene.id/post/defi-the-fatf-is-it-regulated-kyc-aml</w:t>
        </w:r>
      </w:hyperlink>
    </w:p>
    <w:p w14:paraId="0BBF7E3B" w14:textId="77777777" w:rsidR="00E633D6" w:rsidRPr="00E633D6" w:rsidRDefault="00E633D6"/>
    <w:sectPr w:rsidR="00E633D6" w:rsidRPr="00E633D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11-30T16:48:00Z" w:initials="科林">
    <w:p w14:paraId="22F44CC6" w14:textId="77777777" w:rsidR="00536958" w:rsidRDefault="00536958" w:rsidP="00EB16EF">
      <w:pPr>
        <w:pStyle w:val="ad"/>
      </w:pPr>
      <w:r>
        <w:rPr>
          <w:rStyle w:val="ac"/>
        </w:rPr>
        <w:annotationRef/>
      </w:r>
      <w:r>
        <w:t>以以太坊为基础的混合器Tornado Cash被外国资产控制办公室(OFAC)列入黑名单，原因是它涉嫌与来自朝鲜的Lazarus黑客组织有联系。</w:t>
      </w:r>
    </w:p>
  </w:comment>
  <w:comment w:id="1" w:author="科 林" w:date="2023-11-30T16:50:00Z" w:initials="科林">
    <w:p w14:paraId="61927E19" w14:textId="77777777" w:rsidR="007E0F58" w:rsidRDefault="007E0F58" w:rsidP="0026684F">
      <w:pPr>
        <w:pStyle w:val="ad"/>
      </w:pPr>
      <w:r>
        <w:rPr>
          <w:rStyle w:val="ac"/>
        </w:rPr>
        <w:annotationRef/>
      </w:r>
      <w:r>
        <w:t>对DeFi的有效监管反应可能包括现有监管、改进监管和新的定制监管的结合。</w:t>
      </w:r>
    </w:p>
  </w:comment>
  <w:comment w:id="2" w:author="科 林" w:date="2023-11-30T16:51:00Z" w:initials="科林">
    <w:p w14:paraId="4ED9DC7F" w14:textId="77777777" w:rsidR="007E0F58" w:rsidRDefault="007E0F58" w:rsidP="00B22353">
      <w:pPr>
        <w:pStyle w:val="ad"/>
      </w:pPr>
      <w:r>
        <w:rPr>
          <w:rStyle w:val="ac"/>
        </w:rPr>
        <w:annotationRef/>
      </w:r>
      <w:r>
        <w:t>或许，需要更加强调基于活动的监管，而不是基于实体的监管。</w:t>
      </w:r>
    </w:p>
  </w:comment>
  <w:comment w:id="3" w:author="科 林" w:date="2023-11-30T16:52:00Z" w:initials="科林">
    <w:p w14:paraId="36D35F24" w14:textId="77777777" w:rsidR="00E90EF6" w:rsidRDefault="00E90EF6" w:rsidP="002A439B">
      <w:pPr>
        <w:pStyle w:val="ad"/>
      </w:pPr>
      <w:r>
        <w:rPr>
          <w:rStyle w:val="ac"/>
        </w:rPr>
        <w:annotationRef/>
      </w:r>
      <w:r>
        <w:t>Uniswap用户提起集体诉讼，指控Uniswap实验室及其投资者因未能遵守证券法而对其损失负有责任。</w:t>
      </w:r>
    </w:p>
  </w:comment>
  <w:comment w:id="4" w:author="科 林" w:date="2023-11-30T16:55:00Z" w:initials="科林">
    <w:p w14:paraId="20EFEC16" w14:textId="77777777" w:rsidR="00D9373F" w:rsidRDefault="00317F40" w:rsidP="00833F59">
      <w:pPr>
        <w:pStyle w:val="ad"/>
      </w:pPr>
      <w:r>
        <w:rPr>
          <w:rStyle w:val="ac"/>
        </w:rPr>
        <w:annotationRef/>
      </w:r>
      <w:r w:rsidR="00D9373F">
        <w:t>MakerDAO制定了应急计划，如果支持其稳定币DAI的核心合约受到制裁，将执行紧急关闭。</w:t>
      </w:r>
    </w:p>
  </w:comment>
  <w:comment w:id="5" w:author="科 林" w:date="2023-11-30T16:58:00Z" w:initials="科林">
    <w:p w14:paraId="7FA85643" w14:textId="2DD470E3" w:rsidR="00F03834" w:rsidRDefault="00F03834">
      <w:pPr>
        <w:pStyle w:val="ad"/>
      </w:pPr>
      <w:r>
        <w:rPr>
          <w:rStyle w:val="ac"/>
        </w:rPr>
        <w:annotationRef/>
      </w:r>
      <w:r>
        <w:t>FATF希望各国根据对FATF标准中提供的定义的广泛解释，在个案基础上确定可识别的人是否属于DeFi安排中的VASP。</w:t>
      </w:r>
    </w:p>
    <w:p w14:paraId="596C0FB7" w14:textId="77777777" w:rsidR="00F03834" w:rsidRDefault="00F03834" w:rsidP="003A3D2F">
      <w:pPr>
        <w:pStyle w:val="ad"/>
      </w:pPr>
      <w:r>
        <w:t>没理解这句话。</w:t>
      </w:r>
    </w:p>
  </w:comment>
  <w:comment w:id="6" w:author="科 林" w:date="2023-11-30T16:59:00Z" w:initials="科林">
    <w:p w14:paraId="2A23A7C6" w14:textId="77777777" w:rsidR="008D6FAB" w:rsidRDefault="008D6FAB">
      <w:pPr>
        <w:pStyle w:val="ad"/>
      </w:pPr>
      <w:r>
        <w:rPr>
          <w:rStyle w:val="ac"/>
        </w:rPr>
        <w:annotationRef/>
      </w:r>
      <w:r>
        <w:t>规范受监管实体与DeFi平台之间的联系</w:t>
      </w:r>
    </w:p>
    <w:p w14:paraId="3DEC064D" w14:textId="77777777" w:rsidR="008D6FAB" w:rsidRDefault="008D6FAB" w:rsidP="0092190E">
      <w:pPr>
        <w:pStyle w:val="ad"/>
      </w:pPr>
      <w:r>
        <w:t>没理解这句话</w:t>
      </w:r>
    </w:p>
  </w:comment>
  <w:comment w:id="7" w:author="科 林" w:date="2023-11-30T17:00:00Z" w:initials="科林">
    <w:p w14:paraId="5FD8E3F1" w14:textId="77777777" w:rsidR="00092CD3" w:rsidRDefault="00092CD3" w:rsidP="00695B00">
      <w:pPr>
        <w:pStyle w:val="ad"/>
      </w:pPr>
      <w:r>
        <w:rPr>
          <w:rStyle w:val="ac"/>
        </w:rPr>
        <w:annotationRef/>
      </w:r>
      <w:r>
        <w:t>规范针对特定DeFi应用程序背后的项目团队的智能合约的功能</w:t>
      </w:r>
    </w:p>
  </w:comment>
  <w:comment w:id="8" w:author="科 林" w:date="2023-11-30T17:01:00Z" w:initials="科林">
    <w:p w14:paraId="3DE7D081" w14:textId="77777777" w:rsidR="00092CD3" w:rsidRDefault="00092CD3" w:rsidP="0059651B">
      <w:pPr>
        <w:pStyle w:val="ad"/>
      </w:pPr>
      <w:r>
        <w:rPr>
          <w:rStyle w:val="ac"/>
        </w:rPr>
        <w:annotationRef/>
      </w:r>
      <w:r>
        <w:t>利用嵌入式监管来利用公共区块链提供的固有数据透明度，从而更容易监控和监督DeFi活动。</w:t>
      </w:r>
    </w:p>
  </w:comment>
  <w:comment w:id="9" w:author="科 林" w:date="2023-11-30T20:45:00Z" w:initials="科林">
    <w:p w14:paraId="4703BCC2" w14:textId="77777777" w:rsidR="005627F9" w:rsidRDefault="005627F9" w:rsidP="00BB730A">
      <w:pPr>
        <w:pStyle w:val="ad"/>
      </w:pPr>
      <w:r>
        <w:rPr>
          <w:rStyle w:val="ac"/>
        </w:rPr>
        <w:annotationRef/>
      </w:r>
      <w:r>
        <w:t>评估加密资产市场中去中心化金融的发展，以及对去中心化加密资产系统的适当监管处理。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F44CC6" w15:done="0"/>
  <w15:commentEx w15:paraId="61927E19" w15:done="0"/>
  <w15:commentEx w15:paraId="4ED9DC7F" w15:done="0"/>
  <w15:commentEx w15:paraId="36D35F24" w15:done="0"/>
  <w15:commentEx w15:paraId="20EFEC16" w15:done="0"/>
  <w15:commentEx w15:paraId="596C0FB7" w15:done="0"/>
  <w15:commentEx w15:paraId="3DEC064D" w15:done="0"/>
  <w15:commentEx w15:paraId="5FD8E3F1" w15:done="0"/>
  <w15:commentEx w15:paraId="3DE7D081" w15:done="0"/>
  <w15:commentEx w15:paraId="4703BC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CC15C5" w16cex:dateUtc="2023-11-30T08:48:00Z"/>
  <w16cex:commentExtensible w16cex:durableId="3388E843" w16cex:dateUtc="2023-11-30T08:50:00Z"/>
  <w16cex:commentExtensible w16cex:durableId="5D16B4D9" w16cex:dateUtc="2023-11-30T08:51:00Z"/>
  <w16cex:commentExtensible w16cex:durableId="11353E6D" w16cex:dateUtc="2023-11-30T08:52:00Z"/>
  <w16cex:commentExtensible w16cex:durableId="26E6F0C0" w16cex:dateUtc="2023-11-30T08:55:00Z"/>
  <w16cex:commentExtensible w16cex:durableId="02BDDA93" w16cex:dateUtc="2023-11-30T08:58:00Z"/>
  <w16cex:commentExtensible w16cex:durableId="2D0737B0" w16cex:dateUtc="2023-11-30T08:59:00Z"/>
  <w16cex:commentExtensible w16cex:durableId="19354ED6" w16cex:dateUtc="2023-11-30T09:00:00Z"/>
  <w16cex:commentExtensible w16cex:durableId="5ED10C00" w16cex:dateUtc="2023-11-30T09:01:00Z"/>
  <w16cex:commentExtensible w16cex:durableId="4CD37B53" w16cex:dateUtc="2023-11-30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F44CC6" w16cid:durableId="49CC15C5"/>
  <w16cid:commentId w16cid:paraId="61927E19" w16cid:durableId="3388E843"/>
  <w16cid:commentId w16cid:paraId="4ED9DC7F" w16cid:durableId="5D16B4D9"/>
  <w16cid:commentId w16cid:paraId="36D35F24" w16cid:durableId="11353E6D"/>
  <w16cid:commentId w16cid:paraId="20EFEC16" w16cid:durableId="26E6F0C0"/>
  <w16cid:commentId w16cid:paraId="596C0FB7" w16cid:durableId="02BDDA93"/>
  <w16cid:commentId w16cid:paraId="3DEC064D" w16cid:durableId="2D0737B0"/>
  <w16cid:commentId w16cid:paraId="5FD8E3F1" w16cid:durableId="19354ED6"/>
  <w16cid:commentId w16cid:paraId="3DE7D081" w16cid:durableId="5ED10C00"/>
  <w16cid:commentId w16cid:paraId="4703BCC2" w16cid:durableId="4CD37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00A22" w14:textId="77777777" w:rsidR="00A0228E" w:rsidRDefault="00A0228E" w:rsidP="00E633D6">
      <w:r>
        <w:separator/>
      </w:r>
    </w:p>
  </w:endnote>
  <w:endnote w:type="continuationSeparator" w:id="0">
    <w:p w14:paraId="735B4681" w14:textId="77777777" w:rsidR="00A0228E" w:rsidRDefault="00A0228E" w:rsidP="00E63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Slab">
    <w:charset w:val="00"/>
    <w:family w:val="auto"/>
    <w:pitch w:val="variable"/>
    <w:sig w:usb0="000004FF" w:usb1="8000405F" w:usb2="00000022"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F2E3B" w14:textId="77777777" w:rsidR="00A0228E" w:rsidRDefault="00A0228E" w:rsidP="00E633D6">
      <w:r>
        <w:separator/>
      </w:r>
    </w:p>
  </w:footnote>
  <w:footnote w:type="continuationSeparator" w:id="0">
    <w:p w14:paraId="7CB9112A" w14:textId="77777777" w:rsidR="00A0228E" w:rsidRDefault="00A0228E" w:rsidP="00E63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266BC"/>
    <w:multiLevelType w:val="multilevel"/>
    <w:tmpl w:val="F0B024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76AF9"/>
    <w:multiLevelType w:val="multilevel"/>
    <w:tmpl w:val="64E65F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437181">
    <w:abstractNumId w:val="1"/>
  </w:num>
  <w:num w:numId="2" w16cid:durableId="4879399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69"/>
    <w:rsid w:val="00092CD3"/>
    <w:rsid w:val="001D2E51"/>
    <w:rsid w:val="00317F40"/>
    <w:rsid w:val="0035057D"/>
    <w:rsid w:val="00356737"/>
    <w:rsid w:val="004F1F69"/>
    <w:rsid w:val="00536958"/>
    <w:rsid w:val="005627F9"/>
    <w:rsid w:val="007E0F58"/>
    <w:rsid w:val="00852E39"/>
    <w:rsid w:val="00855B14"/>
    <w:rsid w:val="008D6FAB"/>
    <w:rsid w:val="00A0228E"/>
    <w:rsid w:val="00BC17DF"/>
    <w:rsid w:val="00C66FDF"/>
    <w:rsid w:val="00D41B62"/>
    <w:rsid w:val="00D9373F"/>
    <w:rsid w:val="00E633D6"/>
    <w:rsid w:val="00E80EEF"/>
    <w:rsid w:val="00E90EF6"/>
    <w:rsid w:val="00F03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E17A0"/>
  <w15:chartTrackingRefBased/>
  <w15:docId w15:val="{CE1AD4E3-C759-4B65-8101-E6939C81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633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633D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33D6"/>
    <w:pPr>
      <w:tabs>
        <w:tab w:val="center" w:pos="4153"/>
        <w:tab w:val="right" w:pos="8306"/>
      </w:tabs>
      <w:snapToGrid w:val="0"/>
      <w:jc w:val="center"/>
    </w:pPr>
    <w:rPr>
      <w:sz w:val="18"/>
      <w:szCs w:val="18"/>
    </w:rPr>
  </w:style>
  <w:style w:type="character" w:customStyle="1" w:styleId="a4">
    <w:name w:val="页眉 字符"/>
    <w:basedOn w:val="a0"/>
    <w:link w:val="a3"/>
    <w:uiPriority w:val="99"/>
    <w:rsid w:val="00E633D6"/>
    <w:rPr>
      <w:sz w:val="18"/>
      <w:szCs w:val="18"/>
    </w:rPr>
  </w:style>
  <w:style w:type="paragraph" w:styleId="a5">
    <w:name w:val="footer"/>
    <w:basedOn w:val="a"/>
    <w:link w:val="a6"/>
    <w:uiPriority w:val="99"/>
    <w:unhideWhenUsed/>
    <w:rsid w:val="00E633D6"/>
    <w:pPr>
      <w:tabs>
        <w:tab w:val="center" w:pos="4153"/>
        <w:tab w:val="right" w:pos="8306"/>
      </w:tabs>
      <w:snapToGrid w:val="0"/>
      <w:jc w:val="left"/>
    </w:pPr>
    <w:rPr>
      <w:sz w:val="18"/>
      <w:szCs w:val="18"/>
    </w:rPr>
  </w:style>
  <w:style w:type="character" w:customStyle="1" w:styleId="a6">
    <w:name w:val="页脚 字符"/>
    <w:basedOn w:val="a0"/>
    <w:link w:val="a5"/>
    <w:uiPriority w:val="99"/>
    <w:rsid w:val="00E633D6"/>
    <w:rPr>
      <w:sz w:val="18"/>
      <w:szCs w:val="18"/>
    </w:rPr>
  </w:style>
  <w:style w:type="character" w:customStyle="1" w:styleId="20">
    <w:name w:val="标题 2 字符"/>
    <w:basedOn w:val="a0"/>
    <w:link w:val="2"/>
    <w:uiPriority w:val="9"/>
    <w:rsid w:val="00E633D6"/>
    <w:rPr>
      <w:rFonts w:ascii="宋体" w:eastAsia="宋体" w:hAnsi="宋体" w:cs="宋体"/>
      <w:b/>
      <w:bCs/>
      <w:kern w:val="0"/>
      <w:sz w:val="36"/>
      <w:szCs w:val="36"/>
    </w:rPr>
  </w:style>
  <w:style w:type="character" w:customStyle="1" w:styleId="30">
    <w:name w:val="标题 3 字符"/>
    <w:basedOn w:val="a0"/>
    <w:link w:val="3"/>
    <w:uiPriority w:val="9"/>
    <w:rsid w:val="00E633D6"/>
    <w:rPr>
      <w:rFonts w:ascii="宋体" w:eastAsia="宋体" w:hAnsi="宋体" w:cs="宋体"/>
      <w:b/>
      <w:bCs/>
      <w:kern w:val="0"/>
      <w:sz w:val="27"/>
      <w:szCs w:val="27"/>
    </w:rPr>
  </w:style>
  <w:style w:type="paragraph" w:styleId="a7">
    <w:name w:val="Normal (Web)"/>
    <w:basedOn w:val="a"/>
    <w:uiPriority w:val="99"/>
    <w:semiHidden/>
    <w:unhideWhenUsed/>
    <w:rsid w:val="00E633D6"/>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E633D6"/>
    <w:rPr>
      <w:color w:val="0000FF"/>
      <w:u w:val="single"/>
    </w:rPr>
  </w:style>
  <w:style w:type="character" w:styleId="a9">
    <w:name w:val="Strong"/>
    <w:basedOn w:val="a0"/>
    <w:uiPriority w:val="22"/>
    <w:qFormat/>
    <w:rsid w:val="00E633D6"/>
    <w:rPr>
      <w:b/>
      <w:bCs/>
    </w:rPr>
  </w:style>
  <w:style w:type="character" w:styleId="aa">
    <w:name w:val="Emphasis"/>
    <w:basedOn w:val="a0"/>
    <w:uiPriority w:val="20"/>
    <w:qFormat/>
    <w:rsid w:val="00E633D6"/>
    <w:rPr>
      <w:i/>
      <w:iCs/>
    </w:rPr>
  </w:style>
  <w:style w:type="character" w:styleId="ab">
    <w:name w:val="Unresolved Mention"/>
    <w:basedOn w:val="a0"/>
    <w:uiPriority w:val="99"/>
    <w:semiHidden/>
    <w:unhideWhenUsed/>
    <w:rsid w:val="00E633D6"/>
    <w:rPr>
      <w:color w:val="605E5C"/>
      <w:shd w:val="clear" w:color="auto" w:fill="E1DFDD"/>
    </w:rPr>
  </w:style>
  <w:style w:type="character" w:styleId="ac">
    <w:name w:val="annotation reference"/>
    <w:basedOn w:val="a0"/>
    <w:uiPriority w:val="99"/>
    <w:semiHidden/>
    <w:unhideWhenUsed/>
    <w:rsid w:val="00536958"/>
    <w:rPr>
      <w:sz w:val="21"/>
      <w:szCs w:val="21"/>
    </w:rPr>
  </w:style>
  <w:style w:type="paragraph" w:styleId="ad">
    <w:name w:val="annotation text"/>
    <w:basedOn w:val="a"/>
    <w:link w:val="ae"/>
    <w:uiPriority w:val="99"/>
    <w:unhideWhenUsed/>
    <w:rsid w:val="00536958"/>
    <w:pPr>
      <w:jc w:val="left"/>
    </w:pPr>
  </w:style>
  <w:style w:type="character" w:customStyle="1" w:styleId="ae">
    <w:name w:val="批注文字 字符"/>
    <w:basedOn w:val="a0"/>
    <w:link w:val="ad"/>
    <w:uiPriority w:val="99"/>
    <w:rsid w:val="00536958"/>
  </w:style>
  <w:style w:type="paragraph" w:styleId="af">
    <w:name w:val="annotation subject"/>
    <w:basedOn w:val="ad"/>
    <w:next w:val="ad"/>
    <w:link w:val="af0"/>
    <w:uiPriority w:val="99"/>
    <w:semiHidden/>
    <w:unhideWhenUsed/>
    <w:rsid w:val="00536958"/>
    <w:rPr>
      <w:b/>
      <w:bCs/>
    </w:rPr>
  </w:style>
  <w:style w:type="character" w:customStyle="1" w:styleId="af0">
    <w:name w:val="批注主题 字符"/>
    <w:basedOn w:val="ae"/>
    <w:link w:val="af"/>
    <w:uiPriority w:val="99"/>
    <w:semiHidden/>
    <w:rsid w:val="005369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516810">
      <w:bodyDiv w:val="1"/>
      <w:marLeft w:val="0"/>
      <w:marRight w:val="0"/>
      <w:marTop w:val="0"/>
      <w:marBottom w:val="0"/>
      <w:divBdr>
        <w:top w:val="none" w:sz="0" w:space="0" w:color="auto"/>
        <w:left w:val="none" w:sz="0" w:space="0" w:color="auto"/>
        <w:bottom w:val="none" w:sz="0" w:space="0" w:color="auto"/>
        <w:right w:val="none" w:sz="0" w:space="0" w:color="auto"/>
      </w:divBdr>
      <w:divsChild>
        <w:div w:id="659121607">
          <w:marLeft w:val="0"/>
          <w:marRight w:val="0"/>
          <w:marTop w:val="0"/>
          <w:marBottom w:val="0"/>
          <w:divBdr>
            <w:top w:val="none" w:sz="0" w:space="0" w:color="auto"/>
            <w:left w:val="none" w:sz="0" w:space="0" w:color="auto"/>
            <w:bottom w:val="none" w:sz="0" w:space="0" w:color="auto"/>
            <w:right w:val="none" w:sz="0" w:space="0" w:color="auto"/>
          </w:divBdr>
          <w:divsChild>
            <w:div w:id="657655994">
              <w:marLeft w:val="0"/>
              <w:marRight w:val="0"/>
              <w:marTop w:val="0"/>
              <w:marBottom w:val="0"/>
              <w:divBdr>
                <w:top w:val="none" w:sz="0" w:space="0" w:color="auto"/>
                <w:left w:val="none" w:sz="0" w:space="0" w:color="auto"/>
                <w:bottom w:val="none" w:sz="0" w:space="0" w:color="auto"/>
                <w:right w:val="none" w:sz="0" w:space="0" w:color="auto"/>
              </w:divBdr>
            </w:div>
            <w:div w:id="1760952531">
              <w:marLeft w:val="0"/>
              <w:marRight w:val="0"/>
              <w:marTop w:val="0"/>
              <w:marBottom w:val="0"/>
              <w:divBdr>
                <w:top w:val="none" w:sz="0" w:space="0" w:color="auto"/>
                <w:left w:val="none" w:sz="0" w:space="0" w:color="auto"/>
                <w:bottom w:val="none" w:sz="0" w:space="0" w:color="auto"/>
                <w:right w:val="none" w:sz="0" w:space="0" w:color="auto"/>
              </w:divBdr>
            </w:div>
          </w:divsChild>
        </w:div>
        <w:div w:id="276987268">
          <w:marLeft w:val="0"/>
          <w:marRight w:val="0"/>
          <w:marTop w:val="0"/>
          <w:marBottom w:val="0"/>
          <w:divBdr>
            <w:top w:val="none" w:sz="0" w:space="0" w:color="auto"/>
            <w:left w:val="none" w:sz="0" w:space="0" w:color="auto"/>
            <w:bottom w:val="none" w:sz="0" w:space="0" w:color="auto"/>
            <w:right w:val="none" w:sz="0" w:space="0" w:color="auto"/>
          </w:divBdr>
          <w:divsChild>
            <w:div w:id="1621648871">
              <w:marLeft w:val="0"/>
              <w:marRight w:val="0"/>
              <w:marTop w:val="0"/>
              <w:marBottom w:val="0"/>
              <w:divBdr>
                <w:top w:val="none" w:sz="0" w:space="0" w:color="auto"/>
                <w:left w:val="none" w:sz="0" w:space="0" w:color="auto"/>
                <w:bottom w:val="none" w:sz="0" w:space="0" w:color="auto"/>
                <w:right w:val="none" w:sz="0" w:space="0" w:color="auto"/>
              </w:divBdr>
            </w:div>
            <w:div w:id="1014308676">
              <w:marLeft w:val="0"/>
              <w:marRight w:val="0"/>
              <w:marTop w:val="0"/>
              <w:marBottom w:val="0"/>
              <w:divBdr>
                <w:top w:val="none" w:sz="0" w:space="0" w:color="auto"/>
                <w:left w:val="none" w:sz="0" w:space="0" w:color="auto"/>
                <w:bottom w:val="none" w:sz="0" w:space="0" w:color="auto"/>
                <w:right w:val="none" w:sz="0" w:space="0" w:color="auto"/>
              </w:divBdr>
              <w:divsChild>
                <w:div w:id="1766224855">
                  <w:marLeft w:val="0"/>
                  <w:marRight w:val="0"/>
                  <w:marTop w:val="0"/>
                  <w:marBottom w:val="0"/>
                  <w:divBdr>
                    <w:top w:val="none" w:sz="0" w:space="0" w:color="auto"/>
                    <w:left w:val="none" w:sz="0" w:space="0" w:color="auto"/>
                    <w:bottom w:val="none" w:sz="0" w:space="0" w:color="auto"/>
                    <w:right w:val="none" w:sz="0" w:space="0" w:color="auto"/>
                  </w:divBdr>
                </w:div>
              </w:divsChild>
            </w:div>
            <w:div w:id="877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abene.id/crypto-travel-rule-101/vasps-virtual-asset-service-providers" TargetMode="External"/><Relationship Id="rId13" Type="http://schemas.openxmlformats.org/officeDocument/2006/relationships/hyperlink" Target="https://notabene.id/state-of-crypto-travel-rule-compliance-report" TargetMode="External"/><Relationship Id="rId18" Type="http://schemas.microsoft.com/office/2016/09/relationships/commentsIds" Target="commentsIds.xml"/><Relationship Id="rId26" Type="http://schemas.openxmlformats.org/officeDocument/2006/relationships/hyperlink" Target="https://home.treasury.gov/news/press-releases/jy0916" TargetMode="External"/><Relationship Id="rId3" Type="http://schemas.openxmlformats.org/officeDocument/2006/relationships/settings" Target="settings.xml"/><Relationship Id="rId21" Type="http://schemas.openxmlformats.org/officeDocument/2006/relationships/hyperlink" Target="https://thedefiant.io/aave-arc-30-launch-whitelisters" TargetMode="External"/><Relationship Id="rId7" Type="http://schemas.openxmlformats.org/officeDocument/2006/relationships/hyperlink" Target="https://notabene.id/crypto-travel-rule-101/fatf-financial-action-task-force" TargetMode="External"/><Relationship Id="rId12" Type="http://schemas.openxmlformats.org/officeDocument/2006/relationships/hyperlink" Target="https://notabene.id/post/stablecoins-and-the-crypto-travel-rule-are-stablecoin-issuers-vasps" TargetMode="External"/><Relationship Id="rId17" Type="http://schemas.microsoft.com/office/2011/relationships/commentsExtended" Target="commentsExtended.xml"/><Relationship Id="rId25" Type="http://schemas.openxmlformats.org/officeDocument/2006/relationships/hyperlink" Target="https://www.adgm.com/documents/legal-framework/discussion-paper/2022/discussion-paper-no-1of-2022-decentralised-finance-apr-2022-final.pdf" TargetMode="Externa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www.weforum.org/whitepapers/decentralized-finance-defi-policy-maker-toolkit/" TargetMode="External"/><Relationship Id="rId29" Type="http://schemas.openxmlformats.org/officeDocument/2006/relationships/hyperlink" Target="https://notabene.id/post/defi-the-fatf-is-it-regulated-kyc-a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tabene.id/post/nfts-the-crypto-travel-rule-are-they-regulated-virtual-assets" TargetMode="External"/><Relationship Id="rId24" Type="http://schemas.openxmlformats.org/officeDocument/2006/relationships/hyperlink" Target="https://storage.courtlistener.com/recap/gov.uscourts.nysd.577791/gov.uscourts.nysd.577791.1.0.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theblock.co/linked/141853/class-action-lawsuit-accuses-uniswap-labs-its-investors-of-allowing-fraudulent-activity-on-the-dex-protocol" TargetMode="External"/><Relationship Id="rId28" Type="http://schemas.openxmlformats.org/officeDocument/2006/relationships/image" Target="media/image2.png"/><Relationship Id="rId10" Type="http://schemas.openxmlformats.org/officeDocument/2006/relationships/hyperlink" Target="https://notabene.id/crypto-travel-rule-101/counter-terrorism-financing-crypto" TargetMode="External"/><Relationship Id="rId19" Type="http://schemas.microsoft.com/office/2018/08/relationships/commentsExtensible" Target="commentsExtensible.xm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notabene.id/crypto-travel-rule-101/aml-crypto" TargetMode="External"/><Relationship Id="rId14" Type="http://schemas.openxmlformats.org/officeDocument/2006/relationships/hyperlink" Target="https://mp.weixin.qq.com/s/2hcXdocXIADZrb8hI0Jedw" TargetMode="External"/><Relationship Id="rId22" Type="http://schemas.openxmlformats.org/officeDocument/2006/relationships/hyperlink" Target="https://finance.ec.europa.eu/system/files/2022-04/european-financial-stability-and-integration-review-2022_en.pdf" TargetMode="External"/><Relationship Id="rId27" Type="http://schemas.openxmlformats.org/officeDocument/2006/relationships/hyperlink" Target="https://thedefiant.io/tornado-impact-makerdao-dai"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9</Pages>
  <Words>1620</Words>
  <Characters>9237</Characters>
  <Application>Microsoft Office Word</Application>
  <DocSecurity>0</DocSecurity>
  <Lines>76</Lines>
  <Paragraphs>21</Paragraphs>
  <ScaleCrop>false</ScaleCrop>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31</cp:revision>
  <dcterms:created xsi:type="dcterms:W3CDTF">2023-11-30T08:31:00Z</dcterms:created>
  <dcterms:modified xsi:type="dcterms:W3CDTF">2023-12-04T01:39:00Z</dcterms:modified>
</cp:coreProperties>
</file>