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3616" w14:textId="77777777" w:rsidR="00C42ACB" w:rsidRPr="00C42ACB" w:rsidRDefault="00C42ACB" w:rsidP="00C42ACB">
      <w:pPr>
        <w:widowControl/>
        <w:shd w:val="clear" w:color="auto" w:fill="FFFFFF"/>
        <w:spacing w:line="720" w:lineRule="atLeast"/>
        <w:jc w:val="left"/>
        <w:outlineLvl w:val="0"/>
        <w:rPr>
          <w:rFonts w:ascii="微软雅黑" w:eastAsia="微软雅黑" w:hAnsi="微软雅黑" w:cs="宋体"/>
          <w:b/>
          <w:bCs/>
          <w:color w:val="333333"/>
          <w:kern w:val="36"/>
          <w:sz w:val="54"/>
          <w:szCs w:val="54"/>
        </w:rPr>
      </w:pPr>
      <w:r w:rsidRPr="00C42ACB">
        <w:rPr>
          <w:rFonts w:ascii="微软雅黑" w:eastAsia="微软雅黑" w:hAnsi="微软雅黑" w:cs="宋体" w:hint="eastAsia"/>
          <w:b/>
          <w:bCs/>
          <w:color w:val="333333"/>
          <w:kern w:val="36"/>
          <w:sz w:val="54"/>
          <w:szCs w:val="54"/>
        </w:rPr>
        <w:t>金融行动特别工作组（FATF）之</w:t>
      </w:r>
      <w:r w:rsidRPr="00C42ACB">
        <w:rPr>
          <w:rFonts w:ascii="微软雅黑" w:eastAsia="微软雅黑" w:hAnsi="微软雅黑" w:cs="宋体" w:hint="eastAsia"/>
          <w:b/>
          <w:bCs/>
          <w:color w:val="333333"/>
          <w:kern w:val="36"/>
          <w:sz w:val="54"/>
          <w:szCs w:val="54"/>
          <w:highlight w:val="yellow"/>
        </w:rPr>
        <w:t>数字货币业务KYC合</w:t>
      </w:r>
      <w:proofErr w:type="gramStart"/>
      <w:r w:rsidRPr="00C42ACB">
        <w:rPr>
          <w:rFonts w:ascii="微软雅黑" w:eastAsia="微软雅黑" w:hAnsi="微软雅黑" w:cs="宋体" w:hint="eastAsia"/>
          <w:b/>
          <w:bCs/>
          <w:color w:val="333333"/>
          <w:kern w:val="36"/>
          <w:sz w:val="54"/>
          <w:szCs w:val="54"/>
          <w:highlight w:val="yellow"/>
        </w:rPr>
        <w:t>规</w:t>
      </w:r>
      <w:proofErr w:type="gramEnd"/>
      <w:r w:rsidRPr="00C42ACB">
        <w:rPr>
          <w:rFonts w:ascii="微软雅黑" w:eastAsia="微软雅黑" w:hAnsi="微软雅黑" w:cs="宋体" w:hint="eastAsia"/>
          <w:b/>
          <w:bCs/>
          <w:color w:val="333333"/>
          <w:kern w:val="36"/>
          <w:sz w:val="54"/>
          <w:szCs w:val="54"/>
          <w:highlight w:val="yellow"/>
        </w:rPr>
        <w:t>标准</w:t>
      </w:r>
      <w:r w:rsidRPr="00C42ACB">
        <w:rPr>
          <w:rFonts w:ascii="微软雅黑" w:eastAsia="微软雅黑" w:hAnsi="微软雅黑" w:cs="宋体" w:hint="eastAsia"/>
          <w:b/>
          <w:bCs/>
          <w:color w:val="333333"/>
          <w:kern w:val="36"/>
          <w:sz w:val="54"/>
          <w:szCs w:val="54"/>
        </w:rPr>
        <w:t>解读</w:t>
      </w:r>
    </w:p>
    <w:p w14:paraId="0817B752" w14:textId="77777777" w:rsidR="00C42ACB" w:rsidRPr="00C42ACB" w:rsidRDefault="00C42ACB" w:rsidP="00C42ACB">
      <w:pPr>
        <w:widowControl/>
        <w:shd w:val="clear" w:color="auto" w:fill="FFFFFF"/>
        <w:jc w:val="left"/>
        <w:rPr>
          <w:rFonts w:ascii="微软雅黑" w:eastAsia="微软雅黑" w:hAnsi="微软雅黑" w:cs="宋体" w:hint="eastAsia"/>
          <w:color w:val="000000"/>
          <w:kern w:val="0"/>
          <w:sz w:val="18"/>
          <w:szCs w:val="18"/>
        </w:rPr>
      </w:pPr>
      <w:r w:rsidRPr="00C42ACB">
        <w:rPr>
          <w:rFonts w:ascii="微软雅黑" w:eastAsia="微软雅黑" w:hAnsi="微软雅黑" w:cs="宋体" w:hint="eastAsia"/>
          <w:color w:val="0065CD"/>
          <w:kern w:val="0"/>
          <w:szCs w:val="21"/>
        </w:rPr>
        <w:t>陈云峰</w:t>
      </w:r>
      <w:r w:rsidRPr="00C42ACB">
        <w:rPr>
          <w:rFonts w:ascii="微软雅黑" w:eastAsia="微软雅黑" w:hAnsi="微软雅黑" w:cs="宋体" w:hint="eastAsia"/>
          <w:color w:val="000000"/>
          <w:kern w:val="0"/>
          <w:sz w:val="18"/>
          <w:szCs w:val="18"/>
        </w:rPr>
        <w:t> </w:t>
      </w:r>
      <w:r w:rsidRPr="00C42ACB">
        <w:rPr>
          <w:rFonts w:ascii="微软雅黑" w:eastAsia="微软雅黑" w:hAnsi="微软雅黑" w:cs="宋体" w:hint="eastAsia"/>
          <w:color w:val="666666"/>
          <w:kern w:val="0"/>
          <w:szCs w:val="21"/>
        </w:rPr>
        <w:t>来源：</w:t>
      </w:r>
      <w:proofErr w:type="gramStart"/>
      <w:r w:rsidRPr="00C42ACB">
        <w:rPr>
          <w:rFonts w:ascii="微软雅黑" w:eastAsia="微软雅黑" w:hAnsi="微软雅黑" w:cs="宋体" w:hint="eastAsia"/>
          <w:color w:val="666666"/>
          <w:kern w:val="0"/>
          <w:szCs w:val="21"/>
        </w:rPr>
        <w:t>中伦文德</w:t>
      </w:r>
      <w:proofErr w:type="gramEnd"/>
      <w:r w:rsidRPr="00C42ACB">
        <w:rPr>
          <w:rFonts w:ascii="微软雅黑" w:eastAsia="微软雅黑" w:hAnsi="微软雅黑" w:cs="宋体" w:hint="eastAsia"/>
          <w:color w:val="666666"/>
          <w:kern w:val="0"/>
          <w:szCs w:val="21"/>
        </w:rPr>
        <w:t>律师事务所</w:t>
      </w:r>
      <w:r w:rsidRPr="00C42ACB">
        <w:rPr>
          <w:rFonts w:ascii="微软雅黑" w:eastAsia="微软雅黑" w:hAnsi="微软雅黑" w:cs="宋体" w:hint="eastAsia"/>
          <w:color w:val="000000"/>
          <w:kern w:val="0"/>
          <w:sz w:val="18"/>
          <w:szCs w:val="18"/>
        </w:rPr>
        <w:t> </w:t>
      </w:r>
      <w:r w:rsidRPr="00C42ACB">
        <w:rPr>
          <w:rFonts w:ascii="微软雅黑" w:eastAsia="微软雅黑" w:hAnsi="微软雅黑" w:cs="宋体" w:hint="eastAsia"/>
          <w:color w:val="666666"/>
          <w:kern w:val="0"/>
          <w:szCs w:val="21"/>
        </w:rPr>
        <w:t>2019-06-03 02:02:48</w:t>
      </w:r>
      <w:r w:rsidRPr="00C42ACB">
        <w:rPr>
          <w:rFonts w:ascii="微软雅黑" w:eastAsia="微软雅黑" w:hAnsi="微软雅黑" w:cs="宋体" w:hint="eastAsia"/>
          <w:color w:val="000000"/>
          <w:kern w:val="0"/>
          <w:sz w:val="18"/>
          <w:szCs w:val="18"/>
        </w:rPr>
        <w:t> </w:t>
      </w:r>
      <w:r w:rsidRPr="00C42ACB">
        <w:rPr>
          <w:rFonts w:ascii="微软雅黑" w:eastAsia="微软雅黑" w:hAnsi="微软雅黑" w:cs="宋体" w:hint="eastAsia"/>
          <w:color w:val="666666"/>
          <w:kern w:val="0"/>
          <w:szCs w:val="21"/>
        </w:rPr>
        <w:t> </w:t>
      </w:r>
      <w:hyperlink r:id="rId7" w:tgtFrame="_blank" w:history="1">
        <w:r w:rsidRPr="00C42ACB">
          <w:rPr>
            <w:rFonts w:ascii="微软雅黑" w:eastAsia="微软雅黑" w:hAnsi="微软雅黑" w:cs="宋体" w:hint="eastAsia"/>
            <w:color w:val="0065CD"/>
            <w:kern w:val="0"/>
            <w:szCs w:val="21"/>
            <w:u w:val="single"/>
          </w:rPr>
          <w:t>货币</w:t>
        </w:r>
      </w:hyperlink>
      <w:r w:rsidRPr="00C42ACB">
        <w:rPr>
          <w:rFonts w:ascii="微软雅黑" w:eastAsia="微软雅黑" w:hAnsi="微软雅黑" w:cs="宋体" w:hint="eastAsia"/>
          <w:color w:val="666666"/>
          <w:kern w:val="0"/>
          <w:szCs w:val="21"/>
        </w:rPr>
        <w:t> </w:t>
      </w:r>
      <w:hyperlink r:id="rId8" w:tgtFrame="_blank" w:history="1">
        <w:r w:rsidRPr="00C42ACB">
          <w:rPr>
            <w:rFonts w:ascii="微软雅黑" w:eastAsia="微软雅黑" w:hAnsi="微软雅黑" w:cs="宋体" w:hint="eastAsia"/>
            <w:color w:val="0065CD"/>
            <w:kern w:val="0"/>
            <w:szCs w:val="21"/>
            <w:u w:val="single"/>
          </w:rPr>
          <w:t>交易</w:t>
        </w:r>
      </w:hyperlink>
      <w:hyperlink r:id="rId9" w:tgtFrame="_blank" w:history="1">
        <w:r w:rsidRPr="00C42ACB">
          <w:rPr>
            <w:rFonts w:ascii="微软雅黑" w:eastAsia="微软雅黑" w:hAnsi="微软雅黑" w:cs="宋体" w:hint="eastAsia"/>
            <w:color w:val="FFFFFF"/>
            <w:kern w:val="0"/>
            <w:sz w:val="24"/>
            <w:szCs w:val="24"/>
            <w:u w:val="single"/>
            <w:shd w:val="clear" w:color="auto" w:fill="007FC9"/>
          </w:rPr>
          <w:t>金融科技</w:t>
        </w:r>
      </w:hyperlink>
    </w:p>
    <w:p w14:paraId="10E089A7" w14:textId="77777777" w:rsidR="00C42ACB" w:rsidRPr="00C42ACB" w:rsidRDefault="00C42ACB" w:rsidP="00C42ACB">
      <w:pPr>
        <w:widowControl/>
        <w:shd w:val="clear" w:color="auto" w:fill="EDEDED"/>
        <w:spacing w:line="390" w:lineRule="atLeast"/>
        <w:jc w:val="left"/>
        <w:rPr>
          <w:rFonts w:ascii="微软雅黑" w:eastAsia="微软雅黑" w:hAnsi="微软雅黑" w:cs="宋体" w:hint="eastAsia"/>
          <w:color w:val="777777"/>
          <w:spacing w:val="15"/>
          <w:kern w:val="0"/>
          <w:sz w:val="24"/>
          <w:szCs w:val="24"/>
        </w:rPr>
      </w:pPr>
      <w:r w:rsidRPr="00C42ACB">
        <w:rPr>
          <w:rFonts w:ascii="微软雅黑" w:eastAsia="微软雅黑" w:hAnsi="微软雅黑" w:cs="宋体" w:hint="eastAsia"/>
          <w:b/>
          <w:bCs/>
          <w:color w:val="FFFFFF"/>
          <w:spacing w:val="15"/>
          <w:kern w:val="0"/>
          <w:sz w:val="27"/>
          <w:szCs w:val="27"/>
          <w:shd w:val="clear" w:color="auto" w:fill="727475"/>
        </w:rPr>
        <w:t>核心提示</w:t>
      </w:r>
      <w:r w:rsidRPr="00C42ACB">
        <w:rPr>
          <w:rFonts w:ascii="微软雅黑" w:eastAsia="微软雅黑" w:hAnsi="微软雅黑" w:cs="宋体" w:hint="eastAsia"/>
          <w:color w:val="777777"/>
          <w:spacing w:val="15"/>
          <w:kern w:val="0"/>
          <w:sz w:val="24"/>
          <w:szCs w:val="24"/>
          <w:highlight w:val="yellow"/>
        </w:rPr>
        <w:t>2019</w:t>
      </w:r>
      <w:r w:rsidRPr="00C42ACB">
        <w:rPr>
          <w:rFonts w:ascii="微软雅黑" w:eastAsia="微软雅黑" w:hAnsi="微软雅黑" w:cs="宋体" w:hint="eastAsia"/>
          <w:color w:val="777777"/>
          <w:spacing w:val="15"/>
          <w:kern w:val="0"/>
          <w:sz w:val="24"/>
          <w:szCs w:val="24"/>
        </w:rPr>
        <w:t>年5月6日、7日，金融行动特别工作组（FATF）与虚拟货币的发行人、交易所、钱包及其他数字货币服务提供商等针对虚拟货币服务和商业模式的规划。</w:t>
      </w:r>
    </w:p>
    <w:p w14:paraId="110D7C60" w14:textId="77777777" w:rsidR="00C42ACB" w:rsidRPr="00C42ACB" w:rsidRDefault="00C42ACB" w:rsidP="00C42ACB">
      <w:pPr>
        <w:widowControl/>
        <w:numPr>
          <w:ilvl w:val="0"/>
          <w:numId w:val="1"/>
        </w:numPr>
        <w:pBdr>
          <w:bottom w:val="single" w:sz="6" w:space="4" w:color="F0F0F0"/>
        </w:pBdr>
        <w:shd w:val="clear" w:color="auto" w:fill="FAFAFA"/>
        <w:jc w:val="left"/>
        <w:rPr>
          <w:rFonts w:ascii="微软雅黑" w:eastAsia="微软雅黑" w:hAnsi="微软雅黑" w:cs="宋体" w:hint="eastAsia"/>
          <w:color w:val="000000"/>
          <w:kern w:val="0"/>
          <w:sz w:val="18"/>
          <w:szCs w:val="18"/>
        </w:rPr>
      </w:pPr>
    </w:p>
    <w:p w14:paraId="4D6924E6" w14:textId="77777777" w:rsidR="00C42ACB" w:rsidRPr="00C42ACB" w:rsidRDefault="00C42ACB" w:rsidP="00C42ACB">
      <w:pPr>
        <w:widowControl/>
        <w:numPr>
          <w:ilvl w:val="0"/>
          <w:numId w:val="1"/>
        </w:numPr>
        <w:pBdr>
          <w:bottom w:val="single" w:sz="6" w:space="4" w:color="F0F0F0"/>
        </w:pBdr>
        <w:shd w:val="clear" w:color="auto" w:fill="FAFAFA"/>
        <w:jc w:val="left"/>
        <w:rPr>
          <w:rFonts w:ascii="微软雅黑" w:eastAsia="微软雅黑" w:hAnsi="微软雅黑" w:cs="宋体" w:hint="eastAsia"/>
          <w:color w:val="000000"/>
          <w:kern w:val="0"/>
          <w:sz w:val="18"/>
          <w:szCs w:val="18"/>
        </w:rPr>
      </w:pPr>
    </w:p>
    <w:p w14:paraId="55B963F8" w14:textId="77777777" w:rsidR="00C42ACB" w:rsidRPr="00C42ACB" w:rsidRDefault="00C42ACB" w:rsidP="00C42ACB">
      <w:pPr>
        <w:widowControl/>
        <w:numPr>
          <w:ilvl w:val="0"/>
          <w:numId w:val="1"/>
        </w:numPr>
        <w:shd w:val="clear" w:color="auto" w:fill="FAFAFA"/>
        <w:jc w:val="left"/>
        <w:rPr>
          <w:rFonts w:ascii="微软雅黑" w:eastAsia="微软雅黑" w:hAnsi="微软雅黑" w:cs="宋体" w:hint="eastAsia"/>
          <w:color w:val="000000"/>
          <w:kern w:val="0"/>
          <w:sz w:val="18"/>
          <w:szCs w:val="18"/>
        </w:rPr>
      </w:pPr>
    </w:p>
    <w:p w14:paraId="443D07D2"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2019年5月6日、7日，金融行动特别工作组（FATF）与虚拟货币的发行人、交易所、钱包及其他数字货币服务提供商等针对虚拟货币服务和商业模式的规划、适用虚拟货币转移的具体监管措施等进行讨论，提到了虚拟货币的监管环境中实施</w:t>
      </w:r>
      <w:r w:rsidRPr="00C42ACB">
        <w:rPr>
          <w:rFonts w:ascii="微软雅黑" w:eastAsia="微软雅黑" w:hAnsi="微软雅黑" w:cs="宋体" w:hint="eastAsia"/>
          <w:color w:val="404040"/>
          <w:spacing w:val="15"/>
          <w:kern w:val="0"/>
          <w:sz w:val="27"/>
          <w:szCs w:val="27"/>
          <w:highlight w:val="yellow"/>
        </w:rPr>
        <w:t>《反洗钱、反恐怖主义融资及大规模杀伤性武器扩散国际标准</w:t>
      </w:r>
      <w:proofErr w:type="spellStart"/>
      <w:r w:rsidRPr="00C42ACB">
        <w:rPr>
          <w:rFonts w:ascii="微软雅黑" w:eastAsia="微软雅黑" w:hAnsi="微软雅黑" w:cs="宋体" w:hint="eastAsia"/>
          <w:color w:val="404040"/>
          <w:spacing w:val="15"/>
          <w:kern w:val="0"/>
          <w:sz w:val="27"/>
          <w:szCs w:val="27"/>
          <w:highlight w:val="yellow"/>
        </w:rPr>
        <w:t>FATF</w:t>
      </w:r>
      <w:proofErr w:type="spellEnd"/>
      <w:r w:rsidRPr="00C42ACB">
        <w:rPr>
          <w:rFonts w:ascii="微软雅黑" w:eastAsia="微软雅黑" w:hAnsi="微软雅黑" w:cs="宋体" w:hint="eastAsia"/>
          <w:color w:val="404040"/>
          <w:spacing w:val="15"/>
          <w:kern w:val="0"/>
          <w:sz w:val="27"/>
          <w:szCs w:val="27"/>
          <w:highlight w:val="yellow"/>
        </w:rPr>
        <w:t>建议书》</w:t>
      </w:r>
      <w:r w:rsidRPr="00C42ACB">
        <w:rPr>
          <w:rFonts w:ascii="微软雅黑" w:eastAsia="微软雅黑" w:hAnsi="微软雅黑" w:cs="宋体" w:hint="eastAsia"/>
          <w:color w:val="404040"/>
          <w:spacing w:val="15"/>
          <w:kern w:val="0"/>
          <w:sz w:val="27"/>
          <w:szCs w:val="27"/>
        </w:rPr>
        <w:t>相应的具体内容，如“</w:t>
      </w:r>
      <w:r w:rsidRPr="00C42ACB">
        <w:rPr>
          <w:rFonts w:ascii="微软雅黑" w:eastAsia="微软雅黑" w:hAnsi="微软雅黑" w:cs="宋体" w:hint="eastAsia"/>
          <w:color w:val="404040"/>
          <w:spacing w:val="15"/>
          <w:kern w:val="0"/>
          <w:sz w:val="27"/>
          <w:szCs w:val="27"/>
          <w:highlight w:val="yellow"/>
        </w:rPr>
        <w:t>了解你的客户</w:t>
      </w:r>
      <w:r w:rsidRPr="00C42ACB">
        <w:rPr>
          <w:rFonts w:ascii="微软雅黑" w:eastAsia="微软雅黑" w:hAnsi="微软雅黑" w:cs="宋体" w:hint="eastAsia"/>
          <w:color w:val="404040"/>
          <w:spacing w:val="15"/>
          <w:kern w:val="0"/>
          <w:sz w:val="27"/>
          <w:szCs w:val="27"/>
        </w:rPr>
        <w:t>”、</w:t>
      </w:r>
      <w:r w:rsidRPr="00C42ACB">
        <w:rPr>
          <w:rFonts w:ascii="微软雅黑" w:eastAsia="微软雅黑" w:hAnsi="微软雅黑" w:cs="宋体" w:hint="eastAsia"/>
          <w:color w:val="404040"/>
          <w:spacing w:val="15"/>
          <w:kern w:val="0"/>
          <w:sz w:val="27"/>
          <w:szCs w:val="27"/>
          <w:highlight w:val="yellow"/>
        </w:rPr>
        <w:t>档案保存</w:t>
      </w:r>
      <w:r w:rsidRPr="00C42ACB">
        <w:rPr>
          <w:rFonts w:ascii="微软雅黑" w:eastAsia="微软雅黑" w:hAnsi="微软雅黑" w:cs="宋体" w:hint="eastAsia"/>
          <w:color w:val="404040"/>
          <w:spacing w:val="15"/>
          <w:kern w:val="0"/>
          <w:sz w:val="27"/>
          <w:szCs w:val="27"/>
        </w:rPr>
        <w:t>、</w:t>
      </w:r>
      <w:r w:rsidRPr="00C42ACB">
        <w:rPr>
          <w:rFonts w:ascii="微软雅黑" w:eastAsia="微软雅黑" w:hAnsi="微软雅黑" w:cs="宋体" w:hint="eastAsia"/>
          <w:color w:val="404040"/>
          <w:spacing w:val="15"/>
          <w:kern w:val="0"/>
          <w:sz w:val="27"/>
          <w:szCs w:val="27"/>
          <w:highlight w:val="yellow"/>
        </w:rPr>
        <w:t>可疑交易报告</w:t>
      </w:r>
      <w:r w:rsidRPr="00C42ACB">
        <w:rPr>
          <w:rFonts w:ascii="微软雅黑" w:eastAsia="微软雅黑" w:hAnsi="微软雅黑" w:cs="宋体" w:hint="eastAsia"/>
          <w:color w:val="404040"/>
          <w:spacing w:val="15"/>
          <w:kern w:val="0"/>
          <w:sz w:val="27"/>
          <w:szCs w:val="27"/>
        </w:rPr>
        <w:t>等。</w:t>
      </w:r>
    </w:p>
    <w:p w14:paraId="7461DE40"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FATF在</w:t>
      </w:r>
      <w:r w:rsidRPr="00C42ACB">
        <w:rPr>
          <w:rFonts w:ascii="微软雅黑" w:eastAsia="微软雅黑" w:hAnsi="微软雅黑" w:cs="宋体" w:hint="eastAsia"/>
          <w:color w:val="404040"/>
          <w:spacing w:val="15"/>
          <w:kern w:val="0"/>
          <w:sz w:val="27"/>
          <w:szCs w:val="27"/>
          <w:highlight w:val="yellow"/>
        </w:rPr>
        <w:t>2012</w:t>
      </w:r>
      <w:r w:rsidRPr="00C42ACB">
        <w:rPr>
          <w:rFonts w:ascii="微软雅黑" w:eastAsia="微软雅黑" w:hAnsi="微软雅黑" w:cs="宋体" w:hint="eastAsia"/>
          <w:color w:val="404040"/>
          <w:spacing w:val="15"/>
          <w:kern w:val="0"/>
          <w:sz w:val="27"/>
          <w:szCs w:val="27"/>
        </w:rPr>
        <w:t>年颁布《FATF建议书》，并于2018年更新，主要规定了各国应采取</w:t>
      </w:r>
      <w:r w:rsidRPr="00C42ACB">
        <w:rPr>
          <w:rFonts w:ascii="微软雅黑" w:eastAsia="微软雅黑" w:hAnsi="微软雅黑" w:cs="宋体" w:hint="eastAsia"/>
          <w:color w:val="404040"/>
          <w:spacing w:val="15"/>
          <w:kern w:val="0"/>
          <w:sz w:val="27"/>
          <w:szCs w:val="27"/>
          <w:highlight w:val="yellow"/>
        </w:rPr>
        <w:t>全面、一致</w:t>
      </w:r>
      <w:r w:rsidRPr="00C42ACB">
        <w:rPr>
          <w:rFonts w:ascii="微软雅黑" w:eastAsia="微软雅黑" w:hAnsi="微软雅黑" w:cs="宋体" w:hint="eastAsia"/>
          <w:color w:val="404040"/>
          <w:spacing w:val="15"/>
          <w:kern w:val="0"/>
          <w:sz w:val="27"/>
          <w:szCs w:val="27"/>
        </w:rPr>
        <w:t>的监管措施，打击洗钱、反恐怖主义融资以及打击大规模杀伤性武器扩散行为。《FATF建议》作为一项</w:t>
      </w:r>
      <w:r w:rsidRPr="00C42ACB">
        <w:rPr>
          <w:rFonts w:ascii="微软雅黑" w:eastAsia="微软雅黑" w:hAnsi="微软雅黑" w:cs="宋体" w:hint="eastAsia"/>
          <w:color w:val="404040"/>
          <w:spacing w:val="15"/>
          <w:kern w:val="0"/>
          <w:sz w:val="27"/>
          <w:szCs w:val="27"/>
          <w:highlight w:val="yellow"/>
        </w:rPr>
        <w:t>国际标准</w:t>
      </w:r>
      <w:r w:rsidRPr="00C42ACB">
        <w:rPr>
          <w:rFonts w:ascii="微软雅黑" w:eastAsia="微软雅黑" w:hAnsi="微软雅黑" w:cs="宋体" w:hint="eastAsia"/>
          <w:color w:val="404040"/>
          <w:spacing w:val="15"/>
          <w:kern w:val="0"/>
          <w:sz w:val="27"/>
          <w:szCs w:val="27"/>
        </w:rPr>
        <w:t>，各国通过其国内情况予以实施，本文将通过该建议进一步分析FATF将在6月份出台的</w:t>
      </w:r>
      <w:r w:rsidRPr="00C42ACB">
        <w:rPr>
          <w:rFonts w:ascii="微软雅黑" w:eastAsia="微软雅黑" w:hAnsi="微软雅黑" w:cs="宋体" w:hint="eastAsia"/>
          <w:color w:val="404040"/>
          <w:spacing w:val="15"/>
          <w:kern w:val="0"/>
          <w:sz w:val="27"/>
          <w:szCs w:val="27"/>
          <w:highlight w:val="yellow"/>
        </w:rPr>
        <w:t>数字货币业务KYC合</w:t>
      </w:r>
      <w:proofErr w:type="gramStart"/>
      <w:r w:rsidRPr="00C42ACB">
        <w:rPr>
          <w:rFonts w:ascii="微软雅黑" w:eastAsia="微软雅黑" w:hAnsi="微软雅黑" w:cs="宋体" w:hint="eastAsia"/>
          <w:color w:val="404040"/>
          <w:spacing w:val="15"/>
          <w:kern w:val="0"/>
          <w:sz w:val="27"/>
          <w:szCs w:val="27"/>
          <w:highlight w:val="yellow"/>
        </w:rPr>
        <w:t>规</w:t>
      </w:r>
      <w:proofErr w:type="gramEnd"/>
      <w:r w:rsidRPr="00C42ACB">
        <w:rPr>
          <w:rFonts w:ascii="微软雅黑" w:eastAsia="微软雅黑" w:hAnsi="微软雅黑" w:cs="宋体" w:hint="eastAsia"/>
          <w:color w:val="404040"/>
          <w:spacing w:val="15"/>
          <w:kern w:val="0"/>
          <w:sz w:val="27"/>
          <w:szCs w:val="27"/>
          <w:highlight w:val="yellow"/>
        </w:rPr>
        <w:t>标准</w:t>
      </w:r>
      <w:r w:rsidRPr="00C42ACB">
        <w:rPr>
          <w:rFonts w:ascii="微软雅黑" w:eastAsia="微软雅黑" w:hAnsi="微软雅黑" w:cs="宋体" w:hint="eastAsia"/>
          <w:color w:val="404040"/>
          <w:spacing w:val="15"/>
          <w:kern w:val="0"/>
          <w:sz w:val="27"/>
          <w:szCs w:val="27"/>
        </w:rPr>
        <w:t>的主要内容。</w:t>
      </w:r>
    </w:p>
    <w:p w14:paraId="69982AB8"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b/>
          <w:bCs/>
          <w:color w:val="E74C3C"/>
          <w:spacing w:val="15"/>
          <w:kern w:val="0"/>
          <w:sz w:val="27"/>
          <w:szCs w:val="27"/>
        </w:rPr>
        <w:lastRenderedPageBreak/>
        <w:t>一、 认识FATF</w:t>
      </w:r>
    </w:p>
    <w:p w14:paraId="0DABBD39"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金融行动特别工作组（FATF）是一个</w:t>
      </w:r>
      <w:r w:rsidRPr="00C42ACB">
        <w:rPr>
          <w:rFonts w:ascii="微软雅黑" w:eastAsia="微软雅黑" w:hAnsi="微软雅黑" w:cs="宋体" w:hint="eastAsia"/>
          <w:color w:val="404040"/>
          <w:spacing w:val="15"/>
          <w:kern w:val="0"/>
          <w:sz w:val="27"/>
          <w:szCs w:val="27"/>
          <w:highlight w:val="yellow"/>
        </w:rPr>
        <w:t>政府间国际组织</w:t>
      </w:r>
      <w:r w:rsidRPr="00C42ACB">
        <w:rPr>
          <w:rFonts w:ascii="微软雅黑" w:eastAsia="微软雅黑" w:hAnsi="微软雅黑" w:cs="宋体" w:hint="eastAsia"/>
          <w:color w:val="404040"/>
          <w:spacing w:val="15"/>
          <w:kern w:val="0"/>
          <w:sz w:val="27"/>
          <w:szCs w:val="27"/>
        </w:rPr>
        <w:t>，于</w:t>
      </w:r>
      <w:r w:rsidRPr="00C42ACB">
        <w:rPr>
          <w:rFonts w:ascii="微软雅黑" w:eastAsia="微软雅黑" w:hAnsi="微软雅黑" w:cs="宋体" w:hint="eastAsia"/>
          <w:color w:val="404040"/>
          <w:spacing w:val="15"/>
          <w:kern w:val="0"/>
          <w:sz w:val="27"/>
          <w:szCs w:val="27"/>
          <w:highlight w:val="yellow"/>
        </w:rPr>
        <w:t>1989</w:t>
      </w:r>
      <w:r w:rsidRPr="00C42ACB">
        <w:rPr>
          <w:rFonts w:ascii="微软雅黑" w:eastAsia="微软雅黑" w:hAnsi="微软雅黑" w:cs="宋体" w:hint="eastAsia"/>
          <w:color w:val="404040"/>
          <w:spacing w:val="15"/>
          <w:kern w:val="0"/>
          <w:sz w:val="27"/>
          <w:szCs w:val="27"/>
        </w:rPr>
        <w:t>年成立，是国际上最具影响力的</w:t>
      </w:r>
      <w:r w:rsidRPr="00C42ACB">
        <w:rPr>
          <w:rFonts w:ascii="微软雅黑" w:eastAsia="微软雅黑" w:hAnsi="微软雅黑" w:cs="宋体" w:hint="eastAsia"/>
          <w:color w:val="404040"/>
          <w:spacing w:val="15"/>
          <w:kern w:val="0"/>
          <w:sz w:val="27"/>
          <w:szCs w:val="27"/>
          <w:highlight w:val="yellow"/>
        </w:rPr>
        <w:t>政府间反洗钱和反恐怖融资</w:t>
      </w:r>
      <w:r w:rsidRPr="00C42ACB">
        <w:rPr>
          <w:rFonts w:ascii="微软雅黑" w:eastAsia="微软雅黑" w:hAnsi="微软雅黑" w:cs="宋体" w:hint="eastAsia"/>
          <w:color w:val="404040"/>
          <w:spacing w:val="15"/>
          <w:kern w:val="0"/>
          <w:sz w:val="27"/>
          <w:szCs w:val="27"/>
        </w:rPr>
        <w:t>（以下统称反洗钱）组织，其制定的</w:t>
      </w:r>
      <w:r w:rsidRPr="00C42ACB">
        <w:rPr>
          <w:rFonts w:ascii="微软雅黑" w:eastAsia="微软雅黑" w:hAnsi="微软雅黑" w:cs="宋体" w:hint="eastAsia"/>
          <w:color w:val="404040"/>
          <w:spacing w:val="15"/>
          <w:kern w:val="0"/>
          <w:sz w:val="27"/>
          <w:szCs w:val="27"/>
          <w:highlight w:val="yellow"/>
        </w:rPr>
        <w:t>反洗钱40项建议</w:t>
      </w:r>
      <w:r w:rsidRPr="00C42ACB">
        <w:rPr>
          <w:rFonts w:ascii="微软雅黑" w:eastAsia="微软雅黑" w:hAnsi="微软雅黑" w:cs="宋体" w:hint="eastAsia"/>
          <w:color w:val="404040"/>
          <w:spacing w:val="15"/>
          <w:kern w:val="0"/>
          <w:sz w:val="27"/>
          <w:szCs w:val="27"/>
        </w:rPr>
        <w:t>和</w:t>
      </w:r>
      <w:r w:rsidRPr="00C42ACB">
        <w:rPr>
          <w:rFonts w:ascii="微软雅黑" w:eastAsia="微软雅黑" w:hAnsi="微软雅黑" w:cs="宋体" w:hint="eastAsia"/>
          <w:color w:val="404040"/>
          <w:spacing w:val="15"/>
          <w:kern w:val="0"/>
          <w:sz w:val="27"/>
          <w:szCs w:val="27"/>
          <w:highlight w:val="yellow"/>
        </w:rPr>
        <w:t>反恐融资9项建议</w:t>
      </w:r>
      <w:r w:rsidRPr="00C42ACB">
        <w:rPr>
          <w:rFonts w:ascii="微软雅黑" w:eastAsia="微软雅黑" w:hAnsi="微软雅黑" w:cs="宋体" w:hint="eastAsia"/>
          <w:color w:val="404040"/>
          <w:spacing w:val="15"/>
          <w:kern w:val="0"/>
          <w:sz w:val="27"/>
          <w:szCs w:val="27"/>
        </w:rPr>
        <w:t>，是世界上反洗钱和反恐怖融资的</w:t>
      </w:r>
      <w:proofErr w:type="gramStart"/>
      <w:r w:rsidRPr="00C42ACB">
        <w:rPr>
          <w:rFonts w:ascii="微软雅黑" w:eastAsia="微软雅黑" w:hAnsi="微软雅黑" w:cs="宋体" w:hint="eastAsia"/>
          <w:color w:val="404040"/>
          <w:spacing w:val="15"/>
          <w:kern w:val="0"/>
          <w:sz w:val="27"/>
          <w:szCs w:val="27"/>
          <w:highlight w:val="yellow"/>
        </w:rPr>
        <w:t>最</w:t>
      </w:r>
      <w:proofErr w:type="gramEnd"/>
      <w:r w:rsidRPr="00C42ACB">
        <w:rPr>
          <w:rFonts w:ascii="微软雅黑" w:eastAsia="微软雅黑" w:hAnsi="微软雅黑" w:cs="宋体" w:hint="eastAsia"/>
          <w:color w:val="404040"/>
          <w:spacing w:val="15"/>
          <w:kern w:val="0"/>
          <w:sz w:val="27"/>
          <w:szCs w:val="27"/>
          <w:highlight w:val="yellow"/>
        </w:rPr>
        <w:t>权威</w:t>
      </w:r>
      <w:r w:rsidRPr="00C42ACB">
        <w:rPr>
          <w:rFonts w:ascii="微软雅黑" w:eastAsia="微软雅黑" w:hAnsi="微软雅黑" w:cs="宋体" w:hint="eastAsia"/>
          <w:color w:val="404040"/>
          <w:spacing w:val="15"/>
          <w:kern w:val="0"/>
          <w:sz w:val="27"/>
          <w:szCs w:val="27"/>
        </w:rPr>
        <w:t>文件。</w:t>
      </w:r>
    </w:p>
    <w:p w14:paraId="1086E829"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b/>
          <w:bCs/>
          <w:color w:val="404040"/>
          <w:spacing w:val="15"/>
          <w:kern w:val="0"/>
          <w:sz w:val="27"/>
          <w:szCs w:val="27"/>
        </w:rPr>
        <w:t>（一）FATF的职能</w:t>
      </w:r>
    </w:p>
    <w:p w14:paraId="22852611"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FATF的工作集中于实现以下三个目标：一是向全球所有国家和地区推广反洗钱信息，并通过扩大会员、在不同地区发展区域反洗钱组织和与其他有关国际组织密切合作，促成全球反洗</w:t>
      </w:r>
      <w:proofErr w:type="gramStart"/>
      <w:r w:rsidRPr="00C42ACB">
        <w:rPr>
          <w:rFonts w:ascii="微软雅黑" w:eastAsia="微软雅黑" w:hAnsi="微软雅黑" w:cs="宋体" w:hint="eastAsia"/>
          <w:color w:val="404040"/>
          <w:spacing w:val="15"/>
          <w:kern w:val="0"/>
          <w:sz w:val="27"/>
          <w:szCs w:val="27"/>
        </w:rPr>
        <w:t>钱网络</w:t>
      </w:r>
      <w:proofErr w:type="gramEnd"/>
      <w:r w:rsidRPr="00C42ACB">
        <w:rPr>
          <w:rFonts w:ascii="微软雅黑" w:eastAsia="微软雅黑" w:hAnsi="微软雅黑" w:cs="宋体" w:hint="eastAsia"/>
          <w:color w:val="404040"/>
          <w:spacing w:val="15"/>
          <w:kern w:val="0"/>
          <w:sz w:val="27"/>
          <w:szCs w:val="27"/>
        </w:rPr>
        <w:t>的建立；二是监督</w:t>
      </w:r>
      <w:proofErr w:type="spellStart"/>
      <w:r w:rsidRPr="00C42ACB">
        <w:rPr>
          <w:rFonts w:ascii="微软雅黑" w:eastAsia="微软雅黑" w:hAnsi="微软雅黑" w:cs="宋体" w:hint="eastAsia"/>
          <w:color w:val="404040"/>
          <w:spacing w:val="15"/>
          <w:kern w:val="0"/>
          <w:sz w:val="27"/>
          <w:szCs w:val="27"/>
        </w:rPr>
        <w:t>FATF</w:t>
      </w:r>
      <w:proofErr w:type="spellEnd"/>
      <w:r w:rsidRPr="00C42ACB">
        <w:rPr>
          <w:rFonts w:ascii="微软雅黑" w:eastAsia="微软雅黑" w:hAnsi="微软雅黑" w:cs="宋体" w:hint="eastAsia"/>
          <w:color w:val="404040"/>
          <w:spacing w:val="15"/>
          <w:kern w:val="0"/>
          <w:sz w:val="27"/>
          <w:szCs w:val="27"/>
        </w:rPr>
        <w:t>成员国执行40项建议，要求所有成员单位开展年度自我评估，并统一组织实施互相评估，监督各成员执行40项建议的情况；三是关注洗钱和反洗</w:t>
      </w:r>
      <w:proofErr w:type="gramStart"/>
      <w:r w:rsidRPr="00C42ACB">
        <w:rPr>
          <w:rFonts w:ascii="微软雅黑" w:eastAsia="微软雅黑" w:hAnsi="微软雅黑" w:cs="宋体" w:hint="eastAsia"/>
          <w:color w:val="404040"/>
          <w:spacing w:val="15"/>
          <w:kern w:val="0"/>
          <w:sz w:val="27"/>
          <w:szCs w:val="27"/>
        </w:rPr>
        <w:t>钱措施</w:t>
      </w:r>
      <w:proofErr w:type="gramEnd"/>
      <w:r w:rsidRPr="00C42ACB">
        <w:rPr>
          <w:rFonts w:ascii="微软雅黑" w:eastAsia="微软雅黑" w:hAnsi="微软雅黑" w:cs="宋体" w:hint="eastAsia"/>
          <w:color w:val="404040"/>
          <w:spacing w:val="15"/>
          <w:kern w:val="0"/>
          <w:sz w:val="27"/>
          <w:szCs w:val="27"/>
        </w:rPr>
        <w:t>的发展趋势，搜集关于洗钱犯罪发展趋势的信息，以便及时修改40项建议，以有效控制洗钱犯罪。</w:t>
      </w:r>
    </w:p>
    <w:p w14:paraId="6912245A"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b/>
          <w:bCs/>
          <w:color w:val="404040"/>
          <w:spacing w:val="15"/>
          <w:kern w:val="0"/>
          <w:sz w:val="27"/>
          <w:szCs w:val="27"/>
        </w:rPr>
        <w:t>（二）FATF的成员国</w:t>
      </w:r>
    </w:p>
    <w:p w14:paraId="78098A27"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目前FATF共有38个成员国，包括香港、欧盟委员会、海湾合作委员会、阿根廷、澳大利亚、奥地利、比利时、巴西、加拿大、中国、丹麦、芬兰、法国、德国、希腊、冰岛、印度、爱尔兰、以色列、意大利、日本、韩国、卢森堡、马来西亚、墨西哥、荷兰、新西兰、挪威、葡萄牙、俄罗斯联邦、新加坡、南非、西班牙、瑞典、瑞士、土耳其、英国以及美国。</w:t>
      </w:r>
    </w:p>
    <w:p w14:paraId="2105E4DE"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lastRenderedPageBreak/>
        <w:t>中国于2007年6月加入FATF，2017年，国务院发布</w:t>
      </w:r>
      <w:r w:rsidRPr="00C42ACB">
        <w:rPr>
          <w:rFonts w:ascii="微软雅黑" w:eastAsia="微软雅黑" w:hAnsi="微软雅黑" w:cs="宋体" w:hint="eastAsia"/>
          <w:color w:val="404040"/>
          <w:spacing w:val="15"/>
          <w:kern w:val="0"/>
          <w:sz w:val="27"/>
          <w:szCs w:val="27"/>
          <w:highlight w:val="yellow"/>
        </w:rPr>
        <w:t>《关于完善反洗钱、反恐怖融资、反逃税监管体制机制的意见》</w:t>
      </w:r>
      <w:r w:rsidRPr="00C42ACB">
        <w:rPr>
          <w:rFonts w:ascii="微软雅黑" w:eastAsia="微软雅黑" w:hAnsi="微软雅黑" w:cs="宋体" w:hint="eastAsia"/>
          <w:color w:val="404040"/>
          <w:spacing w:val="15"/>
          <w:kern w:val="0"/>
          <w:sz w:val="27"/>
          <w:szCs w:val="27"/>
        </w:rPr>
        <w:t>，将反洗钱和反恐怖融资工作提升到国家战略高度，标志着中国实践了FATF倡导的</w:t>
      </w:r>
      <w:r w:rsidRPr="00C42ACB">
        <w:rPr>
          <w:rFonts w:ascii="微软雅黑" w:eastAsia="微软雅黑" w:hAnsi="微软雅黑" w:cs="宋体" w:hint="eastAsia"/>
          <w:color w:val="404040"/>
          <w:spacing w:val="15"/>
          <w:kern w:val="0"/>
          <w:sz w:val="27"/>
          <w:szCs w:val="27"/>
          <w:highlight w:val="yellow"/>
        </w:rPr>
        <w:t>“风险为本”（Risk-based approach)</w:t>
      </w:r>
      <w:r w:rsidRPr="00C42ACB">
        <w:rPr>
          <w:rFonts w:ascii="微软雅黑" w:eastAsia="微软雅黑" w:hAnsi="微软雅黑" w:cs="宋体" w:hint="eastAsia"/>
          <w:color w:val="404040"/>
          <w:spacing w:val="15"/>
          <w:kern w:val="0"/>
          <w:sz w:val="27"/>
          <w:szCs w:val="27"/>
        </w:rPr>
        <w:t>反洗钱策略，在国家风险评估、战略制定及落实行动方面取得了显著成果。</w:t>
      </w:r>
    </w:p>
    <w:p w14:paraId="7A29E54C"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b/>
          <w:bCs/>
          <w:color w:val="E74C3C"/>
          <w:spacing w:val="15"/>
          <w:kern w:val="0"/>
          <w:sz w:val="27"/>
          <w:szCs w:val="27"/>
        </w:rPr>
        <w:t>二、 </w:t>
      </w:r>
      <w:r w:rsidRPr="00C42ACB">
        <w:rPr>
          <w:rFonts w:ascii="微软雅黑" w:eastAsia="微软雅黑" w:hAnsi="微软雅黑" w:cs="宋体" w:hint="eastAsia"/>
          <w:b/>
          <w:bCs/>
          <w:color w:val="E74C3C"/>
          <w:spacing w:val="15"/>
          <w:kern w:val="0"/>
          <w:sz w:val="27"/>
          <w:szCs w:val="27"/>
          <w:highlight w:val="yellow"/>
        </w:rPr>
        <w:t>了解你的客户（KYC）</w:t>
      </w:r>
      <w:r w:rsidRPr="00C42ACB">
        <w:rPr>
          <w:rFonts w:ascii="微软雅黑" w:eastAsia="微软雅黑" w:hAnsi="微软雅黑" w:cs="宋体" w:hint="eastAsia"/>
          <w:b/>
          <w:bCs/>
          <w:color w:val="E74C3C"/>
          <w:spacing w:val="15"/>
          <w:kern w:val="0"/>
          <w:sz w:val="27"/>
          <w:szCs w:val="27"/>
        </w:rPr>
        <w:t>合</w:t>
      </w:r>
      <w:proofErr w:type="gramStart"/>
      <w:r w:rsidRPr="00C42ACB">
        <w:rPr>
          <w:rFonts w:ascii="微软雅黑" w:eastAsia="微软雅黑" w:hAnsi="微软雅黑" w:cs="宋体" w:hint="eastAsia"/>
          <w:b/>
          <w:bCs/>
          <w:color w:val="E74C3C"/>
          <w:spacing w:val="15"/>
          <w:kern w:val="0"/>
          <w:sz w:val="27"/>
          <w:szCs w:val="27"/>
        </w:rPr>
        <w:t>规</w:t>
      </w:r>
      <w:proofErr w:type="gramEnd"/>
      <w:r w:rsidRPr="00C42ACB">
        <w:rPr>
          <w:rFonts w:ascii="微软雅黑" w:eastAsia="微软雅黑" w:hAnsi="微软雅黑" w:cs="宋体" w:hint="eastAsia"/>
          <w:b/>
          <w:bCs/>
          <w:color w:val="E74C3C"/>
          <w:spacing w:val="15"/>
          <w:kern w:val="0"/>
          <w:sz w:val="27"/>
          <w:szCs w:val="27"/>
        </w:rPr>
        <w:t>标准</w:t>
      </w:r>
    </w:p>
    <w:p w14:paraId="344E8DD8"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FATF与</w:t>
      </w:r>
      <w:r w:rsidRPr="00C42ACB">
        <w:rPr>
          <w:rFonts w:ascii="微软雅黑" w:eastAsia="微软雅黑" w:hAnsi="微软雅黑" w:cs="宋体" w:hint="eastAsia"/>
          <w:color w:val="404040"/>
          <w:spacing w:val="15"/>
          <w:kern w:val="0"/>
          <w:sz w:val="27"/>
          <w:szCs w:val="27"/>
          <w:highlight w:val="yellow"/>
        </w:rPr>
        <w:t>数字货币服务提供商</w:t>
      </w:r>
      <w:r w:rsidRPr="00C42ACB">
        <w:rPr>
          <w:rFonts w:ascii="微软雅黑" w:eastAsia="微软雅黑" w:hAnsi="微软雅黑" w:cs="宋体" w:hint="eastAsia"/>
          <w:color w:val="404040"/>
          <w:spacing w:val="15"/>
          <w:kern w:val="0"/>
          <w:sz w:val="27"/>
          <w:szCs w:val="27"/>
        </w:rPr>
        <w:t>沟通过程中提到：第一，</w:t>
      </w:r>
      <w:r w:rsidRPr="00C42ACB">
        <w:rPr>
          <w:rFonts w:ascii="微软雅黑" w:eastAsia="微软雅黑" w:hAnsi="微软雅黑" w:cs="宋体" w:hint="eastAsia"/>
          <w:color w:val="404040"/>
          <w:spacing w:val="15"/>
          <w:kern w:val="0"/>
          <w:sz w:val="27"/>
          <w:szCs w:val="27"/>
          <w:highlight w:val="yellow"/>
        </w:rPr>
        <w:t>客户尽职调查措施</w:t>
      </w:r>
      <w:r w:rsidRPr="00C42ACB">
        <w:rPr>
          <w:rFonts w:ascii="微软雅黑" w:eastAsia="微软雅黑" w:hAnsi="微软雅黑" w:cs="宋体" w:hint="eastAsia"/>
          <w:color w:val="404040"/>
          <w:spacing w:val="15"/>
          <w:kern w:val="0"/>
          <w:sz w:val="27"/>
          <w:szCs w:val="27"/>
        </w:rPr>
        <w:t>（建议10）；第二，</w:t>
      </w:r>
      <w:r w:rsidRPr="00C42ACB">
        <w:rPr>
          <w:rFonts w:ascii="微软雅黑" w:eastAsia="微软雅黑" w:hAnsi="微软雅黑" w:cs="宋体" w:hint="eastAsia"/>
          <w:color w:val="404040"/>
          <w:spacing w:val="15"/>
          <w:kern w:val="0"/>
          <w:sz w:val="27"/>
          <w:szCs w:val="27"/>
          <w:highlight w:val="yellow"/>
        </w:rPr>
        <w:t>记录保存</w:t>
      </w:r>
      <w:r w:rsidRPr="00C42ACB">
        <w:rPr>
          <w:rFonts w:ascii="微软雅黑" w:eastAsia="微软雅黑" w:hAnsi="微软雅黑" w:cs="宋体" w:hint="eastAsia"/>
          <w:color w:val="404040"/>
          <w:spacing w:val="15"/>
          <w:kern w:val="0"/>
          <w:sz w:val="27"/>
          <w:szCs w:val="27"/>
        </w:rPr>
        <w:t>（建议11）；第三，</w:t>
      </w:r>
      <w:r w:rsidRPr="00C42ACB">
        <w:rPr>
          <w:rFonts w:ascii="微软雅黑" w:eastAsia="微软雅黑" w:hAnsi="微软雅黑" w:cs="宋体" w:hint="eastAsia"/>
          <w:color w:val="404040"/>
          <w:spacing w:val="15"/>
          <w:kern w:val="0"/>
          <w:sz w:val="27"/>
          <w:szCs w:val="27"/>
          <w:highlight w:val="yellow"/>
        </w:rPr>
        <w:t>报告可疑交易</w:t>
      </w:r>
      <w:r w:rsidRPr="00C42ACB">
        <w:rPr>
          <w:rFonts w:ascii="微软雅黑" w:eastAsia="微软雅黑" w:hAnsi="微软雅黑" w:cs="宋体" w:hint="eastAsia"/>
          <w:color w:val="404040"/>
          <w:spacing w:val="15"/>
          <w:kern w:val="0"/>
          <w:sz w:val="27"/>
          <w:szCs w:val="27"/>
        </w:rPr>
        <w:t>（建议20），以最终确定即将出台的数字货币监管指引，具体包括：</w:t>
      </w:r>
    </w:p>
    <w:p w14:paraId="44A46D69"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b/>
          <w:bCs/>
          <w:color w:val="404040"/>
          <w:spacing w:val="15"/>
          <w:kern w:val="0"/>
          <w:sz w:val="27"/>
          <w:szCs w:val="27"/>
        </w:rPr>
        <w:t>（一）</w:t>
      </w:r>
      <w:r w:rsidRPr="00C42ACB">
        <w:rPr>
          <w:rFonts w:ascii="微软雅黑" w:eastAsia="微软雅黑" w:hAnsi="微软雅黑" w:cs="宋体" w:hint="eastAsia"/>
          <w:b/>
          <w:bCs/>
          <w:color w:val="404040"/>
          <w:spacing w:val="15"/>
          <w:kern w:val="0"/>
          <w:sz w:val="27"/>
          <w:szCs w:val="27"/>
          <w:highlight w:val="yellow"/>
        </w:rPr>
        <w:t>客户尽职调查措施</w:t>
      </w:r>
      <w:r w:rsidRPr="00C42ACB">
        <w:rPr>
          <w:rFonts w:ascii="微软雅黑" w:eastAsia="微软雅黑" w:hAnsi="微软雅黑" w:cs="宋体" w:hint="eastAsia"/>
          <w:b/>
          <w:bCs/>
          <w:color w:val="404040"/>
          <w:spacing w:val="15"/>
          <w:kern w:val="0"/>
          <w:sz w:val="27"/>
          <w:szCs w:val="27"/>
        </w:rPr>
        <w:t>（CDD）（建议10）</w:t>
      </w:r>
    </w:p>
    <w:p w14:paraId="73063C18"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《FTAF建议》第10项“客户尽职调查措施”：</w:t>
      </w:r>
      <w:r w:rsidRPr="00C42ACB">
        <w:rPr>
          <w:rFonts w:ascii="微软雅黑" w:eastAsia="微软雅黑" w:hAnsi="微软雅黑" w:cs="宋体" w:hint="eastAsia"/>
          <w:color w:val="404040"/>
          <w:spacing w:val="15"/>
          <w:kern w:val="0"/>
          <w:sz w:val="27"/>
          <w:szCs w:val="27"/>
          <w:highlight w:val="yellow"/>
        </w:rPr>
        <w:t>应禁止金融机构保管匿名账户</w:t>
      </w:r>
      <w:proofErr w:type="gramStart"/>
      <w:r w:rsidRPr="00C42ACB">
        <w:rPr>
          <w:rFonts w:ascii="微软雅黑" w:eastAsia="微软雅黑" w:hAnsi="微软雅黑" w:cs="宋体" w:hint="eastAsia"/>
          <w:color w:val="404040"/>
          <w:spacing w:val="15"/>
          <w:kern w:val="0"/>
          <w:sz w:val="27"/>
          <w:szCs w:val="27"/>
          <w:highlight w:val="yellow"/>
        </w:rPr>
        <w:t>或显然</w:t>
      </w:r>
      <w:proofErr w:type="gramEnd"/>
      <w:r w:rsidRPr="00C42ACB">
        <w:rPr>
          <w:rFonts w:ascii="微软雅黑" w:eastAsia="微软雅黑" w:hAnsi="微软雅黑" w:cs="宋体" w:hint="eastAsia"/>
          <w:color w:val="404040"/>
          <w:spacing w:val="15"/>
          <w:kern w:val="0"/>
          <w:sz w:val="27"/>
          <w:szCs w:val="27"/>
          <w:highlight w:val="yellow"/>
        </w:rPr>
        <w:t>是虚构名字的账户</w:t>
      </w:r>
      <w:r w:rsidRPr="00C42ACB">
        <w:rPr>
          <w:rFonts w:ascii="微软雅黑" w:eastAsia="微软雅黑" w:hAnsi="微软雅黑" w:cs="宋体" w:hint="eastAsia"/>
          <w:color w:val="404040"/>
          <w:spacing w:val="15"/>
          <w:kern w:val="0"/>
          <w:sz w:val="27"/>
          <w:szCs w:val="27"/>
        </w:rPr>
        <w:t>。在下列情况下，金融机构应该对客户进行尽职调查：</w:t>
      </w:r>
    </w:p>
    <w:p w14:paraId="513C5496"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（1）</w:t>
      </w:r>
      <w:r w:rsidRPr="00C42ACB">
        <w:rPr>
          <w:rFonts w:ascii="微软雅黑" w:eastAsia="微软雅黑" w:hAnsi="微软雅黑" w:cs="宋体" w:hint="eastAsia"/>
          <w:color w:val="404040"/>
          <w:spacing w:val="15"/>
          <w:kern w:val="0"/>
          <w:sz w:val="27"/>
          <w:szCs w:val="27"/>
          <w:highlight w:val="yellow"/>
        </w:rPr>
        <w:t>建立业务关系</w:t>
      </w:r>
      <w:r w:rsidRPr="00C42ACB">
        <w:rPr>
          <w:rFonts w:ascii="微软雅黑" w:eastAsia="微软雅黑" w:hAnsi="微软雅黑" w:cs="宋体" w:hint="eastAsia"/>
          <w:color w:val="404040"/>
          <w:spacing w:val="15"/>
          <w:kern w:val="0"/>
          <w:sz w:val="27"/>
          <w:szCs w:val="27"/>
        </w:rPr>
        <w:t>;</w:t>
      </w:r>
    </w:p>
    <w:p w14:paraId="1285DFAD"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（2）</w:t>
      </w:r>
      <w:r w:rsidRPr="00C42ACB">
        <w:rPr>
          <w:rFonts w:ascii="微软雅黑" w:eastAsia="微软雅黑" w:hAnsi="微软雅黑" w:cs="宋体" w:hint="eastAsia"/>
          <w:color w:val="404040"/>
          <w:spacing w:val="15"/>
          <w:kern w:val="0"/>
          <w:sz w:val="27"/>
          <w:szCs w:val="27"/>
          <w:highlight w:val="yellow"/>
        </w:rPr>
        <w:t>偶尔进行交易</w:t>
      </w:r>
      <w:r w:rsidRPr="00C42ACB">
        <w:rPr>
          <w:rFonts w:ascii="微软雅黑" w:eastAsia="微软雅黑" w:hAnsi="微软雅黑" w:cs="宋体" w:hint="eastAsia"/>
          <w:color w:val="404040"/>
          <w:spacing w:val="15"/>
          <w:kern w:val="0"/>
          <w:sz w:val="27"/>
          <w:szCs w:val="27"/>
        </w:rPr>
        <w:t>：</w:t>
      </w:r>
    </w:p>
    <w:p w14:paraId="34E2B9E1"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1）高于适用的指定</w:t>
      </w:r>
      <w:r w:rsidRPr="00C42ACB">
        <w:rPr>
          <w:rFonts w:ascii="微软雅黑" w:eastAsia="微软雅黑" w:hAnsi="微软雅黑" w:cs="宋体" w:hint="eastAsia"/>
          <w:color w:val="404040"/>
          <w:spacing w:val="15"/>
          <w:kern w:val="0"/>
          <w:sz w:val="27"/>
          <w:szCs w:val="27"/>
          <w:highlight w:val="yellow"/>
        </w:rPr>
        <w:t>门槛</w:t>
      </w:r>
      <w:r w:rsidRPr="00C42ACB">
        <w:rPr>
          <w:rFonts w:ascii="微软雅黑" w:eastAsia="微软雅黑" w:hAnsi="微软雅黑" w:cs="宋体" w:hint="eastAsia"/>
          <w:color w:val="404040"/>
          <w:spacing w:val="15"/>
          <w:kern w:val="0"/>
          <w:sz w:val="27"/>
          <w:szCs w:val="27"/>
        </w:rPr>
        <w:t>（美元/欧元</w:t>
      </w:r>
      <w:r w:rsidRPr="00C42ACB">
        <w:rPr>
          <w:rFonts w:ascii="微软雅黑" w:eastAsia="微软雅黑" w:hAnsi="微软雅黑" w:cs="宋体" w:hint="eastAsia"/>
          <w:color w:val="404040"/>
          <w:spacing w:val="15"/>
          <w:kern w:val="0"/>
          <w:sz w:val="27"/>
          <w:szCs w:val="27"/>
          <w:highlight w:val="yellow"/>
        </w:rPr>
        <w:t>15,000</w:t>
      </w:r>
      <w:r w:rsidRPr="00C42ACB">
        <w:rPr>
          <w:rFonts w:ascii="微软雅黑" w:eastAsia="微软雅黑" w:hAnsi="微软雅黑" w:cs="宋体" w:hint="eastAsia"/>
          <w:color w:val="404040"/>
          <w:spacing w:val="15"/>
          <w:kern w:val="0"/>
          <w:sz w:val="27"/>
          <w:szCs w:val="27"/>
        </w:rPr>
        <w:t>）;</w:t>
      </w:r>
    </w:p>
    <w:p w14:paraId="7901B1E5"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或2）在建议16的解释性说明所涵盖的情况下的</w:t>
      </w:r>
      <w:r w:rsidRPr="00C42ACB">
        <w:rPr>
          <w:rFonts w:ascii="微软雅黑" w:eastAsia="微软雅黑" w:hAnsi="微软雅黑" w:cs="宋体" w:hint="eastAsia"/>
          <w:color w:val="404040"/>
          <w:spacing w:val="15"/>
          <w:kern w:val="0"/>
          <w:sz w:val="27"/>
          <w:szCs w:val="27"/>
          <w:highlight w:val="yellow"/>
        </w:rPr>
        <w:t>电汇</w:t>
      </w:r>
      <w:r w:rsidRPr="00C42ACB">
        <w:rPr>
          <w:rFonts w:ascii="微软雅黑" w:eastAsia="微软雅黑" w:hAnsi="微软雅黑" w:cs="宋体" w:hint="eastAsia"/>
          <w:color w:val="404040"/>
          <w:spacing w:val="15"/>
          <w:kern w:val="0"/>
          <w:sz w:val="27"/>
          <w:szCs w:val="27"/>
        </w:rPr>
        <w:t>;</w:t>
      </w:r>
    </w:p>
    <w:p w14:paraId="51129121"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建议16的主要内容是：各国应确保金融机构在</w:t>
      </w:r>
      <w:r w:rsidRPr="00C42ACB">
        <w:rPr>
          <w:rFonts w:ascii="微软雅黑" w:eastAsia="微软雅黑" w:hAnsi="微软雅黑" w:cs="宋体" w:hint="eastAsia"/>
          <w:color w:val="404040"/>
          <w:spacing w:val="15"/>
          <w:kern w:val="0"/>
          <w:sz w:val="27"/>
          <w:szCs w:val="27"/>
          <w:highlight w:val="yellow"/>
        </w:rPr>
        <w:t>电汇</w:t>
      </w:r>
      <w:r w:rsidRPr="00C42ACB">
        <w:rPr>
          <w:rFonts w:ascii="微软雅黑" w:eastAsia="微软雅黑" w:hAnsi="微软雅黑" w:cs="宋体" w:hint="eastAsia"/>
          <w:color w:val="404040"/>
          <w:spacing w:val="15"/>
          <w:kern w:val="0"/>
          <w:sz w:val="27"/>
          <w:szCs w:val="27"/>
        </w:rPr>
        <w:t>和相关信息中包含必要、准确的</w:t>
      </w:r>
      <w:r w:rsidRPr="00C42ACB">
        <w:rPr>
          <w:rFonts w:ascii="微软雅黑" w:eastAsia="微软雅黑" w:hAnsi="微软雅黑" w:cs="宋体" w:hint="eastAsia"/>
          <w:color w:val="404040"/>
          <w:spacing w:val="15"/>
          <w:kern w:val="0"/>
          <w:sz w:val="27"/>
          <w:szCs w:val="27"/>
          <w:highlight w:val="yellow"/>
        </w:rPr>
        <w:t>签发者的信息</w:t>
      </w:r>
      <w:r w:rsidRPr="00C42ACB">
        <w:rPr>
          <w:rFonts w:ascii="微软雅黑" w:eastAsia="微软雅黑" w:hAnsi="微软雅黑" w:cs="宋体" w:hint="eastAsia"/>
          <w:color w:val="404040"/>
          <w:spacing w:val="15"/>
          <w:kern w:val="0"/>
          <w:sz w:val="27"/>
          <w:szCs w:val="27"/>
        </w:rPr>
        <w:t>和</w:t>
      </w:r>
      <w:r w:rsidRPr="00C42ACB">
        <w:rPr>
          <w:rFonts w:ascii="微软雅黑" w:eastAsia="微软雅黑" w:hAnsi="微软雅黑" w:cs="宋体" w:hint="eastAsia"/>
          <w:color w:val="404040"/>
          <w:spacing w:val="15"/>
          <w:kern w:val="0"/>
          <w:sz w:val="27"/>
          <w:szCs w:val="27"/>
          <w:highlight w:val="yellow"/>
        </w:rPr>
        <w:t>受益人的信息</w:t>
      </w:r>
      <w:r w:rsidRPr="00C42ACB">
        <w:rPr>
          <w:rFonts w:ascii="微软雅黑" w:eastAsia="微软雅黑" w:hAnsi="微软雅黑" w:cs="宋体" w:hint="eastAsia"/>
          <w:color w:val="404040"/>
          <w:spacing w:val="15"/>
          <w:kern w:val="0"/>
          <w:sz w:val="27"/>
          <w:szCs w:val="27"/>
        </w:rPr>
        <w:t>，并通过支付</w:t>
      </w:r>
      <w:proofErr w:type="gramStart"/>
      <w:r w:rsidRPr="00C42ACB">
        <w:rPr>
          <w:rFonts w:ascii="微软雅黑" w:eastAsia="微软雅黑" w:hAnsi="微软雅黑" w:cs="宋体" w:hint="eastAsia"/>
          <w:color w:val="404040"/>
          <w:spacing w:val="15"/>
          <w:kern w:val="0"/>
          <w:sz w:val="27"/>
          <w:szCs w:val="27"/>
        </w:rPr>
        <w:t>链确保</w:t>
      </w:r>
      <w:proofErr w:type="gramEnd"/>
      <w:r w:rsidRPr="00C42ACB">
        <w:rPr>
          <w:rFonts w:ascii="微软雅黑" w:eastAsia="微软雅黑" w:hAnsi="微软雅黑" w:cs="宋体" w:hint="eastAsia"/>
          <w:color w:val="404040"/>
          <w:spacing w:val="15"/>
          <w:kern w:val="0"/>
          <w:sz w:val="27"/>
          <w:szCs w:val="27"/>
        </w:rPr>
        <w:t>信息保留在整个电汇或相关信息中。为了检测出</w:t>
      </w:r>
      <w:r w:rsidRPr="00C42ACB">
        <w:rPr>
          <w:rFonts w:ascii="微软雅黑" w:eastAsia="微软雅黑" w:hAnsi="微软雅黑" w:cs="宋体" w:hint="eastAsia"/>
          <w:color w:val="404040"/>
          <w:spacing w:val="15"/>
          <w:kern w:val="0"/>
          <w:sz w:val="27"/>
          <w:szCs w:val="27"/>
        </w:rPr>
        <w:lastRenderedPageBreak/>
        <w:t>签发者或者受益人的相关信息，各国应确保金融机构有权监测电汇并针对相关情况采取适当措施。在处理电汇时，金融机构有权采取</w:t>
      </w:r>
      <w:r w:rsidRPr="00C42ACB">
        <w:rPr>
          <w:rFonts w:ascii="微软雅黑" w:eastAsia="微软雅黑" w:hAnsi="微软雅黑" w:cs="宋体" w:hint="eastAsia"/>
          <w:color w:val="404040"/>
          <w:spacing w:val="15"/>
          <w:kern w:val="0"/>
          <w:sz w:val="27"/>
          <w:szCs w:val="27"/>
          <w:highlight w:val="yellow"/>
        </w:rPr>
        <w:t>冻结</w:t>
      </w:r>
      <w:r w:rsidRPr="00C42ACB">
        <w:rPr>
          <w:rFonts w:ascii="微软雅黑" w:eastAsia="微软雅黑" w:hAnsi="微软雅黑" w:cs="宋体" w:hint="eastAsia"/>
          <w:color w:val="404040"/>
          <w:spacing w:val="15"/>
          <w:kern w:val="0"/>
          <w:sz w:val="27"/>
          <w:szCs w:val="27"/>
        </w:rPr>
        <w:t>行动，并应根据联合国安理会有关决议规定的义务，禁止与指定的个人和实体进行交易。</w:t>
      </w:r>
    </w:p>
    <w:p w14:paraId="50569167"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（3）</w:t>
      </w:r>
      <w:r w:rsidRPr="00C42ACB">
        <w:rPr>
          <w:rFonts w:ascii="微软雅黑" w:eastAsia="微软雅黑" w:hAnsi="微软雅黑" w:cs="宋体" w:hint="eastAsia"/>
          <w:color w:val="404040"/>
          <w:spacing w:val="15"/>
          <w:kern w:val="0"/>
          <w:sz w:val="27"/>
          <w:szCs w:val="27"/>
          <w:highlight w:val="yellow"/>
        </w:rPr>
        <w:t>怀疑存在洗钱或恐怖分子融资行为</w:t>
      </w:r>
      <w:r w:rsidRPr="00C42ACB">
        <w:rPr>
          <w:rFonts w:ascii="微软雅黑" w:eastAsia="微软雅黑" w:hAnsi="微软雅黑" w:cs="宋体" w:hint="eastAsia"/>
          <w:color w:val="404040"/>
          <w:spacing w:val="15"/>
          <w:kern w:val="0"/>
          <w:sz w:val="27"/>
          <w:szCs w:val="27"/>
        </w:rPr>
        <w:t>;</w:t>
      </w:r>
    </w:p>
    <w:p w14:paraId="24150445"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（4）</w:t>
      </w:r>
      <w:r w:rsidRPr="00C42ACB">
        <w:rPr>
          <w:rFonts w:ascii="微软雅黑" w:eastAsia="微软雅黑" w:hAnsi="微软雅黑" w:cs="宋体" w:hint="eastAsia"/>
          <w:color w:val="404040"/>
          <w:spacing w:val="15"/>
          <w:kern w:val="0"/>
          <w:sz w:val="27"/>
          <w:szCs w:val="27"/>
          <w:highlight w:val="yellow"/>
        </w:rPr>
        <w:t>金融机构对先前获得的客户识别数据的准确性或充分性存有疑虑</w:t>
      </w:r>
      <w:r w:rsidRPr="00C42ACB">
        <w:rPr>
          <w:rFonts w:ascii="微软雅黑" w:eastAsia="微软雅黑" w:hAnsi="微软雅黑" w:cs="宋体" w:hint="eastAsia"/>
          <w:color w:val="404040"/>
          <w:spacing w:val="15"/>
          <w:kern w:val="0"/>
          <w:sz w:val="27"/>
          <w:szCs w:val="27"/>
        </w:rPr>
        <w:t>。</w:t>
      </w:r>
    </w:p>
    <w:p w14:paraId="55519B77"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金融机构开展</w:t>
      </w:r>
      <w:r w:rsidRPr="00C42ACB">
        <w:rPr>
          <w:rFonts w:ascii="微软雅黑" w:eastAsia="微软雅黑" w:hAnsi="微软雅黑" w:cs="宋体" w:hint="eastAsia"/>
          <w:color w:val="404040"/>
          <w:spacing w:val="15"/>
          <w:kern w:val="0"/>
          <w:sz w:val="27"/>
          <w:szCs w:val="27"/>
          <w:highlight w:val="yellow"/>
        </w:rPr>
        <w:t>尽职调查</w:t>
      </w:r>
      <w:r w:rsidRPr="00C42ACB">
        <w:rPr>
          <w:rFonts w:ascii="微软雅黑" w:eastAsia="微软雅黑" w:hAnsi="微软雅黑" w:cs="宋体" w:hint="eastAsia"/>
          <w:color w:val="404040"/>
          <w:spacing w:val="15"/>
          <w:kern w:val="0"/>
          <w:sz w:val="27"/>
          <w:szCs w:val="27"/>
        </w:rPr>
        <w:t>的原则应该在法律中明确规定。每个国家可以通过法律或可执行的措施确定如何加强尽职调查的具体义务。金融机构进行尽职调查时应该采取如下措施：</w:t>
      </w:r>
    </w:p>
    <w:p w14:paraId="36C5FA40"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（1）使用</w:t>
      </w:r>
      <w:r w:rsidRPr="00C42ACB">
        <w:rPr>
          <w:rFonts w:ascii="微软雅黑" w:eastAsia="微软雅黑" w:hAnsi="微软雅黑" w:cs="宋体" w:hint="eastAsia"/>
          <w:color w:val="404040"/>
          <w:spacing w:val="15"/>
          <w:kern w:val="0"/>
          <w:sz w:val="27"/>
          <w:szCs w:val="27"/>
          <w:highlight w:val="yellow"/>
        </w:rPr>
        <w:t>可靠，独立的源文档，数据或信息</w:t>
      </w:r>
      <w:r w:rsidRPr="00C42ACB">
        <w:rPr>
          <w:rFonts w:ascii="微软雅黑" w:eastAsia="微软雅黑" w:hAnsi="微软雅黑" w:cs="宋体" w:hint="eastAsia"/>
          <w:color w:val="404040"/>
          <w:spacing w:val="15"/>
          <w:kern w:val="0"/>
          <w:sz w:val="27"/>
          <w:szCs w:val="27"/>
        </w:rPr>
        <w:t>，识别并验证客户的身份；</w:t>
      </w:r>
    </w:p>
    <w:p w14:paraId="641E30CE"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（2）</w:t>
      </w:r>
      <w:r w:rsidRPr="00C42ACB">
        <w:rPr>
          <w:rFonts w:ascii="微软雅黑" w:eastAsia="微软雅黑" w:hAnsi="微软雅黑" w:cs="宋体" w:hint="eastAsia"/>
          <w:color w:val="404040"/>
          <w:spacing w:val="15"/>
          <w:kern w:val="0"/>
          <w:sz w:val="27"/>
          <w:szCs w:val="27"/>
          <w:highlight w:val="yellow"/>
        </w:rPr>
        <w:t>识别受益人</w:t>
      </w:r>
      <w:r w:rsidRPr="00C42ACB">
        <w:rPr>
          <w:rFonts w:ascii="微软雅黑" w:eastAsia="微软雅黑" w:hAnsi="微软雅黑" w:cs="宋体" w:hint="eastAsia"/>
          <w:color w:val="404040"/>
          <w:spacing w:val="15"/>
          <w:kern w:val="0"/>
          <w:sz w:val="27"/>
          <w:szCs w:val="27"/>
        </w:rPr>
        <w:t>，并采取合理措施核实受益所有人的身份，以便金融机构确认受益人；</w:t>
      </w:r>
    </w:p>
    <w:p w14:paraId="75433A94"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（3）了解并酌情获取有关</w:t>
      </w:r>
      <w:r w:rsidRPr="00C42ACB">
        <w:rPr>
          <w:rFonts w:ascii="微软雅黑" w:eastAsia="微软雅黑" w:hAnsi="微软雅黑" w:cs="宋体" w:hint="eastAsia"/>
          <w:color w:val="404040"/>
          <w:spacing w:val="15"/>
          <w:kern w:val="0"/>
          <w:sz w:val="27"/>
          <w:szCs w:val="27"/>
          <w:highlight w:val="yellow"/>
        </w:rPr>
        <w:t>业务关系的目的</w:t>
      </w:r>
      <w:r w:rsidRPr="00C42ACB">
        <w:rPr>
          <w:rFonts w:ascii="微软雅黑" w:eastAsia="微软雅黑" w:hAnsi="微软雅黑" w:cs="宋体" w:hint="eastAsia"/>
          <w:color w:val="404040"/>
          <w:spacing w:val="15"/>
          <w:kern w:val="0"/>
          <w:sz w:val="27"/>
          <w:szCs w:val="27"/>
        </w:rPr>
        <w:t>和预期性质的信息；</w:t>
      </w:r>
    </w:p>
    <w:p w14:paraId="2F2B479D"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（4）对整个关系过程中进行的交易的业务关系和审查进行</w:t>
      </w:r>
      <w:r w:rsidRPr="00C42ACB">
        <w:rPr>
          <w:rFonts w:ascii="微软雅黑" w:eastAsia="微软雅黑" w:hAnsi="微软雅黑" w:cs="宋体" w:hint="eastAsia"/>
          <w:color w:val="404040"/>
          <w:spacing w:val="15"/>
          <w:kern w:val="0"/>
          <w:sz w:val="27"/>
          <w:szCs w:val="27"/>
          <w:highlight w:val="yellow"/>
        </w:rPr>
        <w:t>持续</w:t>
      </w:r>
      <w:r w:rsidRPr="00C42ACB">
        <w:rPr>
          <w:rFonts w:ascii="微软雅黑" w:eastAsia="微软雅黑" w:hAnsi="微软雅黑" w:cs="宋体" w:hint="eastAsia"/>
          <w:color w:val="404040"/>
          <w:spacing w:val="15"/>
          <w:kern w:val="0"/>
          <w:sz w:val="27"/>
          <w:szCs w:val="27"/>
        </w:rPr>
        <w:t>的尽职调查，以确保所进行的交易符合机构对客户的了解。</w:t>
      </w:r>
    </w:p>
    <w:p w14:paraId="2A6711A7"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b/>
          <w:bCs/>
          <w:color w:val="404040"/>
          <w:spacing w:val="15"/>
          <w:kern w:val="0"/>
          <w:sz w:val="27"/>
          <w:szCs w:val="27"/>
        </w:rPr>
        <w:t>（二）</w:t>
      </w:r>
      <w:r w:rsidRPr="00C42ACB">
        <w:rPr>
          <w:rFonts w:ascii="微软雅黑" w:eastAsia="微软雅黑" w:hAnsi="微软雅黑" w:cs="宋体" w:hint="eastAsia"/>
          <w:b/>
          <w:bCs/>
          <w:color w:val="404040"/>
          <w:spacing w:val="15"/>
          <w:kern w:val="0"/>
          <w:sz w:val="27"/>
          <w:szCs w:val="27"/>
          <w:highlight w:val="yellow"/>
        </w:rPr>
        <w:t>记录保存</w:t>
      </w:r>
      <w:r w:rsidRPr="00C42ACB">
        <w:rPr>
          <w:rFonts w:ascii="微软雅黑" w:eastAsia="微软雅黑" w:hAnsi="微软雅黑" w:cs="宋体" w:hint="eastAsia"/>
          <w:b/>
          <w:bCs/>
          <w:color w:val="404040"/>
          <w:spacing w:val="15"/>
          <w:kern w:val="0"/>
          <w:sz w:val="27"/>
          <w:szCs w:val="27"/>
        </w:rPr>
        <w:t>（建议11）</w:t>
      </w:r>
    </w:p>
    <w:p w14:paraId="4F1CEF4F"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对于记录保存，建议11主要规定：</w:t>
      </w:r>
    </w:p>
    <w:p w14:paraId="24159A05"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lastRenderedPageBreak/>
        <w:t>（1）FATF要求金融机构至少在</w:t>
      </w:r>
      <w:r w:rsidRPr="00C42ACB">
        <w:rPr>
          <w:rFonts w:ascii="微软雅黑" w:eastAsia="微软雅黑" w:hAnsi="微软雅黑" w:cs="宋体" w:hint="eastAsia"/>
          <w:color w:val="404040"/>
          <w:spacing w:val="15"/>
          <w:kern w:val="0"/>
          <w:sz w:val="27"/>
          <w:szCs w:val="27"/>
          <w:highlight w:val="yellow"/>
        </w:rPr>
        <w:t>五年内保留</w:t>
      </w:r>
      <w:r w:rsidRPr="00C42ACB">
        <w:rPr>
          <w:rFonts w:ascii="微软雅黑" w:eastAsia="微软雅黑" w:hAnsi="微软雅黑" w:cs="宋体" w:hint="eastAsia"/>
          <w:color w:val="404040"/>
          <w:spacing w:val="15"/>
          <w:kern w:val="0"/>
          <w:sz w:val="27"/>
          <w:szCs w:val="27"/>
        </w:rPr>
        <w:t>国内和国际交易的所有必要记录，当主管当局提出审核信息的要求时，金融机构能够</w:t>
      </w:r>
      <w:r w:rsidRPr="00C42ACB">
        <w:rPr>
          <w:rFonts w:ascii="微软雅黑" w:eastAsia="微软雅黑" w:hAnsi="微软雅黑" w:cs="宋体" w:hint="eastAsia"/>
          <w:color w:val="404040"/>
          <w:spacing w:val="15"/>
          <w:kern w:val="0"/>
          <w:sz w:val="27"/>
          <w:szCs w:val="27"/>
          <w:highlight w:val="yellow"/>
        </w:rPr>
        <w:t>迅速查询</w:t>
      </w:r>
      <w:r w:rsidRPr="00C42ACB">
        <w:rPr>
          <w:rFonts w:ascii="微软雅黑" w:eastAsia="微软雅黑" w:hAnsi="微软雅黑" w:cs="宋体" w:hint="eastAsia"/>
          <w:color w:val="404040"/>
          <w:spacing w:val="15"/>
          <w:kern w:val="0"/>
          <w:sz w:val="27"/>
          <w:szCs w:val="27"/>
        </w:rPr>
        <w:t>相关记录。这些记录可以查看个人交易的</w:t>
      </w:r>
      <w:r w:rsidRPr="00C42ACB">
        <w:rPr>
          <w:rFonts w:ascii="微软雅黑" w:eastAsia="微软雅黑" w:hAnsi="微软雅黑" w:cs="宋体" w:hint="eastAsia"/>
          <w:color w:val="404040"/>
          <w:spacing w:val="15"/>
          <w:kern w:val="0"/>
          <w:sz w:val="27"/>
          <w:szCs w:val="27"/>
          <w:highlight w:val="yellow"/>
        </w:rPr>
        <w:t>全部过程</w:t>
      </w:r>
      <w:r w:rsidRPr="00C42ACB">
        <w:rPr>
          <w:rFonts w:ascii="微软雅黑" w:eastAsia="微软雅黑" w:hAnsi="微软雅黑" w:cs="宋体" w:hint="eastAsia"/>
          <w:color w:val="404040"/>
          <w:spacing w:val="15"/>
          <w:kern w:val="0"/>
          <w:sz w:val="27"/>
          <w:szCs w:val="27"/>
        </w:rPr>
        <w:t>（包括涉及的</w:t>
      </w:r>
      <w:r w:rsidRPr="00C42ACB">
        <w:rPr>
          <w:rFonts w:ascii="微软雅黑" w:eastAsia="微软雅黑" w:hAnsi="微软雅黑" w:cs="宋体" w:hint="eastAsia"/>
          <w:color w:val="404040"/>
          <w:spacing w:val="15"/>
          <w:kern w:val="0"/>
          <w:sz w:val="27"/>
          <w:szCs w:val="27"/>
          <w:highlight w:val="yellow"/>
        </w:rPr>
        <w:t>货币数量、类型</w:t>
      </w:r>
      <w:r w:rsidRPr="00C42ACB">
        <w:rPr>
          <w:rFonts w:ascii="微软雅黑" w:eastAsia="微软雅黑" w:hAnsi="微软雅黑" w:cs="宋体" w:hint="eastAsia"/>
          <w:color w:val="404040"/>
          <w:spacing w:val="15"/>
          <w:kern w:val="0"/>
          <w:sz w:val="27"/>
          <w:szCs w:val="27"/>
        </w:rPr>
        <w:t>或者其他方面），这些记录以便在必要时为起诉犯罪活动提供有利的</w:t>
      </w:r>
      <w:r w:rsidRPr="00C42ACB">
        <w:rPr>
          <w:rFonts w:ascii="微软雅黑" w:eastAsia="微软雅黑" w:hAnsi="微软雅黑" w:cs="宋体" w:hint="eastAsia"/>
          <w:color w:val="404040"/>
          <w:spacing w:val="15"/>
          <w:kern w:val="0"/>
          <w:sz w:val="27"/>
          <w:szCs w:val="27"/>
          <w:highlight w:val="yellow"/>
        </w:rPr>
        <w:t>证据</w:t>
      </w:r>
      <w:r w:rsidRPr="00C42ACB">
        <w:rPr>
          <w:rFonts w:ascii="微软雅黑" w:eastAsia="微软雅黑" w:hAnsi="微软雅黑" w:cs="宋体" w:hint="eastAsia"/>
          <w:color w:val="404040"/>
          <w:spacing w:val="15"/>
          <w:kern w:val="0"/>
          <w:sz w:val="27"/>
          <w:szCs w:val="27"/>
        </w:rPr>
        <w:t>。</w:t>
      </w:r>
    </w:p>
    <w:p w14:paraId="6BC27001"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（2）FATF要求金融机构保留通过客户</w:t>
      </w:r>
      <w:r w:rsidRPr="00C42ACB">
        <w:rPr>
          <w:rFonts w:ascii="微软雅黑" w:eastAsia="微软雅黑" w:hAnsi="微软雅黑" w:cs="宋体" w:hint="eastAsia"/>
          <w:color w:val="404040"/>
          <w:spacing w:val="15"/>
          <w:kern w:val="0"/>
          <w:sz w:val="27"/>
          <w:szCs w:val="27"/>
          <w:highlight w:val="yellow"/>
        </w:rPr>
        <w:t>尽职调查查询的所有记录</w:t>
      </w:r>
      <w:r w:rsidRPr="00C42ACB">
        <w:rPr>
          <w:rFonts w:ascii="微软雅黑" w:eastAsia="微软雅黑" w:hAnsi="微软雅黑" w:cs="宋体" w:hint="eastAsia"/>
          <w:color w:val="404040"/>
          <w:spacing w:val="15"/>
          <w:kern w:val="0"/>
          <w:sz w:val="27"/>
          <w:szCs w:val="27"/>
        </w:rPr>
        <w:t>（例如护照，身份证，驾驶执照或类似文件等官方身份证件的复印件或记录），</w:t>
      </w:r>
      <w:proofErr w:type="gramStart"/>
      <w:r w:rsidRPr="00C42ACB">
        <w:rPr>
          <w:rFonts w:ascii="微软雅黑" w:eastAsia="微软雅黑" w:hAnsi="微软雅黑" w:cs="宋体" w:hint="eastAsia"/>
          <w:color w:val="404040"/>
          <w:spacing w:val="15"/>
          <w:kern w:val="0"/>
          <w:sz w:val="27"/>
          <w:szCs w:val="27"/>
        </w:rPr>
        <w:t>帐户</w:t>
      </w:r>
      <w:proofErr w:type="gramEnd"/>
      <w:r w:rsidRPr="00C42ACB">
        <w:rPr>
          <w:rFonts w:ascii="微软雅黑" w:eastAsia="微软雅黑" w:hAnsi="微软雅黑" w:cs="宋体" w:hint="eastAsia"/>
          <w:color w:val="404040"/>
          <w:spacing w:val="15"/>
          <w:kern w:val="0"/>
          <w:sz w:val="27"/>
          <w:szCs w:val="27"/>
        </w:rPr>
        <w:t>文件和商业信函，包括任何通过分析得到的结果（例如，通过查询确定的复杂、不常见的大型交易的背景和目的）。记录保存的时间是在业务关系结束后</w:t>
      </w:r>
      <w:r w:rsidRPr="00C42ACB">
        <w:rPr>
          <w:rFonts w:ascii="微软雅黑" w:eastAsia="微软雅黑" w:hAnsi="微软雅黑" w:cs="宋体" w:hint="eastAsia"/>
          <w:color w:val="404040"/>
          <w:spacing w:val="15"/>
          <w:kern w:val="0"/>
          <w:sz w:val="27"/>
          <w:szCs w:val="27"/>
          <w:highlight w:val="yellow"/>
        </w:rPr>
        <w:t>至少五年</w:t>
      </w:r>
      <w:r w:rsidRPr="00C42ACB">
        <w:rPr>
          <w:rFonts w:ascii="微软雅黑" w:eastAsia="微软雅黑" w:hAnsi="微软雅黑" w:cs="宋体" w:hint="eastAsia"/>
          <w:color w:val="404040"/>
          <w:spacing w:val="15"/>
          <w:kern w:val="0"/>
          <w:sz w:val="27"/>
          <w:szCs w:val="27"/>
        </w:rPr>
        <w:t>，或在偶然交易之后至少五年。</w:t>
      </w:r>
    </w:p>
    <w:p w14:paraId="1D4FCD6D"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（3）</w:t>
      </w:r>
      <w:r w:rsidRPr="00C42ACB">
        <w:rPr>
          <w:rFonts w:ascii="微软雅黑" w:eastAsia="微软雅黑" w:hAnsi="微软雅黑" w:cs="宋体" w:hint="eastAsia"/>
          <w:color w:val="404040"/>
          <w:spacing w:val="15"/>
          <w:kern w:val="0"/>
          <w:sz w:val="27"/>
          <w:szCs w:val="27"/>
          <w:highlight w:val="yellow"/>
        </w:rPr>
        <w:t>法律应该规定</w:t>
      </w:r>
      <w:r w:rsidRPr="00C42ACB">
        <w:rPr>
          <w:rFonts w:ascii="微软雅黑" w:eastAsia="微软雅黑" w:hAnsi="微软雅黑" w:cs="宋体" w:hint="eastAsia"/>
          <w:color w:val="404040"/>
          <w:spacing w:val="15"/>
          <w:kern w:val="0"/>
          <w:sz w:val="27"/>
          <w:szCs w:val="27"/>
        </w:rPr>
        <w:t>金融机构保存通过尽职调查措施获得的交易和信息记录。</w:t>
      </w:r>
    </w:p>
    <w:p w14:paraId="19889A34"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（4）尽职调查的信息和交易记录应提供给</w:t>
      </w:r>
      <w:r w:rsidRPr="00C42ACB">
        <w:rPr>
          <w:rFonts w:ascii="微软雅黑" w:eastAsia="微软雅黑" w:hAnsi="微软雅黑" w:cs="宋体" w:hint="eastAsia"/>
          <w:color w:val="404040"/>
          <w:spacing w:val="15"/>
          <w:kern w:val="0"/>
          <w:sz w:val="27"/>
          <w:szCs w:val="27"/>
          <w:highlight w:val="yellow"/>
        </w:rPr>
        <w:t>国内相关主管机构</w:t>
      </w:r>
      <w:r w:rsidRPr="00C42ACB">
        <w:rPr>
          <w:rFonts w:ascii="微软雅黑" w:eastAsia="微软雅黑" w:hAnsi="微软雅黑" w:cs="宋体" w:hint="eastAsia"/>
          <w:color w:val="404040"/>
          <w:spacing w:val="15"/>
          <w:kern w:val="0"/>
          <w:sz w:val="27"/>
          <w:szCs w:val="27"/>
        </w:rPr>
        <w:t>。</w:t>
      </w:r>
    </w:p>
    <w:p w14:paraId="28907AEF"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b/>
          <w:bCs/>
          <w:color w:val="404040"/>
          <w:spacing w:val="15"/>
          <w:kern w:val="0"/>
          <w:sz w:val="27"/>
          <w:szCs w:val="27"/>
        </w:rPr>
        <w:t>（三）</w:t>
      </w:r>
      <w:r w:rsidRPr="00C42ACB">
        <w:rPr>
          <w:rFonts w:ascii="微软雅黑" w:eastAsia="微软雅黑" w:hAnsi="微软雅黑" w:cs="宋体" w:hint="eastAsia"/>
          <w:b/>
          <w:bCs/>
          <w:color w:val="404040"/>
          <w:spacing w:val="15"/>
          <w:kern w:val="0"/>
          <w:sz w:val="27"/>
          <w:szCs w:val="27"/>
          <w:highlight w:val="yellow"/>
        </w:rPr>
        <w:t>报告可疑交易</w:t>
      </w:r>
      <w:r w:rsidRPr="00C42ACB">
        <w:rPr>
          <w:rFonts w:ascii="微软雅黑" w:eastAsia="微软雅黑" w:hAnsi="微软雅黑" w:cs="宋体" w:hint="eastAsia"/>
          <w:b/>
          <w:bCs/>
          <w:color w:val="404040"/>
          <w:spacing w:val="15"/>
          <w:kern w:val="0"/>
          <w:sz w:val="27"/>
          <w:szCs w:val="27"/>
        </w:rPr>
        <w:t>（建议20）</w:t>
      </w:r>
    </w:p>
    <w:p w14:paraId="49C8E596"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对于可疑交易行为报告，建议20主要规定：</w:t>
      </w:r>
    </w:p>
    <w:p w14:paraId="3B1C7F43"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如果金融机构怀疑或有合理理由怀疑交易资金是犯罪活动的收益，或与恐怖主义融资有关的收益，则金融机构应依法迅速向金融情报部门（金融情报中心）报告情况。</w:t>
      </w:r>
    </w:p>
    <w:p w14:paraId="4F4B0A07"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据FATF公开披露，其针对数字货币交易KYC合</w:t>
      </w:r>
      <w:proofErr w:type="gramStart"/>
      <w:r w:rsidRPr="00C42ACB">
        <w:rPr>
          <w:rFonts w:ascii="微软雅黑" w:eastAsia="微软雅黑" w:hAnsi="微软雅黑" w:cs="宋体" w:hint="eastAsia"/>
          <w:color w:val="404040"/>
          <w:spacing w:val="15"/>
          <w:kern w:val="0"/>
          <w:sz w:val="27"/>
          <w:szCs w:val="27"/>
        </w:rPr>
        <w:t>规</w:t>
      </w:r>
      <w:proofErr w:type="gramEnd"/>
      <w:r w:rsidRPr="00C42ACB">
        <w:rPr>
          <w:rFonts w:ascii="微软雅黑" w:eastAsia="微软雅黑" w:hAnsi="微软雅黑" w:cs="宋体" w:hint="eastAsia"/>
          <w:color w:val="404040"/>
          <w:spacing w:val="15"/>
          <w:kern w:val="0"/>
          <w:sz w:val="27"/>
          <w:szCs w:val="27"/>
        </w:rPr>
        <w:t>标准将于6月正式发布，即数字货币服务商应当按照包含“对客户尽</w:t>
      </w:r>
      <w:r w:rsidRPr="00C42ACB">
        <w:rPr>
          <w:rFonts w:ascii="微软雅黑" w:eastAsia="微软雅黑" w:hAnsi="微软雅黑" w:cs="宋体" w:hint="eastAsia"/>
          <w:color w:val="404040"/>
          <w:spacing w:val="15"/>
          <w:kern w:val="0"/>
          <w:sz w:val="27"/>
          <w:szCs w:val="27"/>
        </w:rPr>
        <w:lastRenderedPageBreak/>
        <w:t>职调查”、“记录保存”、“报告可疑交易”等在内的监管标准为虚拟货币的交易提供更加安全的环境，这对数字货币交易市场合</w:t>
      </w:r>
      <w:proofErr w:type="gramStart"/>
      <w:r w:rsidRPr="00C42ACB">
        <w:rPr>
          <w:rFonts w:ascii="微软雅黑" w:eastAsia="微软雅黑" w:hAnsi="微软雅黑" w:cs="宋体" w:hint="eastAsia"/>
          <w:color w:val="404040"/>
          <w:spacing w:val="15"/>
          <w:kern w:val="0"/>
          <w:sz w:val="27"/>
          <w:szCs w:val="27"/>
        </w:rPr>
        <w:t>规</w:t>
      </w:r>
      <w:proofErr w:type="gramEnd"/>
      <w:r w:rsidRPr="00C42ACB">
        <w:rPr>
          <w:rFonts w:ascii="微软雅黑" w:eastAsia="微软雅黑" w:hAnsi="微软雅黑" w:cs="宋体" w:hint="eastAsia"/>
          <w:color w:val="404040"/>
          <w:spacing w:val="15"/>
          <w:kern w:val="0"/>
          <w:sz w:val="27"/>
          <w:szCs w:val="27"/>
        </w:rPr>
        <w:t>运作亦是重大利好。</w:t>
      </w:r>
    </w:p>
    <w:p w14:paraId="0CCC7C79" w14:textId="77777777" w:rsidR="00C42ACB" w:rsidRPr="00C42ACB" w:rsidRDefault="00C42ACB" w:rsidP="00C42ACB">
      <w:pPr>
        <w:widowControl/>
        <w:shd w:val="clear" w:color="auto" w:fill="FFFFFF"/>
        <w:spacing w:line="450" w:lineRule="atLeast"/>
        <w:ind w:firstLine="480"/>
        <w:jc w:val="left"/>
        <w:rPr>
          <w:rFonts w:ascii="微软雅黑" w:eastAsia="微软雅黑" w:hAnsi="微软雅黑" w:cs="宋体" w:hint="eastAsia"/>
          <w:color w:val="404040"/>
          <w:spacing w:val="15"/>
          <w:kern w:val="0"/>
          <w:sz w:val="27"/>
          <w:szCs w:val="27"/>
        </w:rPr>
      </w:pPr>
      <w:r w:rsidRPr="00C42ACB">
        <w:rPr>
          <w:rFonts w:ascii="微软雅黑" w:eastAsia="微软雅黑" w:hAnsi="微软雅黑" w:cs="宋体" w:hint="eastAsia"/>
          <w:color w:val="404040"/>
          <w:spacing w:val="15"/>
          <w:kern w:val="0"/>
          <w:sz w:val="27"/>
          <w:szCs w:val="27"/>
        </w:rPr>
        <w:t>（本文作者</w:t>
      </w:r>
      <w:proofErr w:type="gramStart"/>
      <w:r w:rsidRPr="00C42ACB">
        <w:rPr>
          <w:rFonts w:ascii="微软雅黑" w:eastAsia="微软雅黑" w:hAnsi="微软雅黑" w:cs="宋体" w:hint="eastAsia"/>
          <w:color w:val="404040"/>
          <w:spacing w:val="15"/>
          <w:kern w:val="0"/>
          <w:sz w:val="27"/>
          <w:szCs w:val="27"/>
        </w:rPr>
        <w:t>系中伦文德</w:t>
      </w:r>
      <w:proofErr w:type="gramEnd"/>
      <w:r w:rsidRPr="00C42ACB">
        <w:rPr>
          <w:rFonts w:ascii="微软雅黑" w:eastAsia="微软雅黑" w:hAnsi="微软雅黑" w:cs="宋体" w:hint="eastAsia"/>
          <w:color w:val="404040"/>
          <w:spacing w:val="15"/>
          <w:kern w:val="0"/>
          <w:sz w:val="27"/>
          <w:szCs w:val="27"/>
        </w:rPr>
        <w:t>律师事务所高级合伙人、互联网金融专业委员会主任，擅长金融及类金融业务、区块链、重大民商事诉讼业务）</w:t>
      </w:r>
    </w:p>
    <w:p w14:paraId="06528783" w14:textId="77777777" w:rsidR="0087451B" w:rsidRDefault="0087451B"/>
    <w:p w14:paraId="43384534" w14:textId="707DD02A" w:rsidR="00C42ACB" w:rsidRDefault="00C42ACB">
      <w:hyperlink r:id="rId10" w:history="1">
        <w:r w:rsidRPr="00074BF3">
          <w:rPr>
            <w:rStyle w:val="a7"/>
          </w:rPr>
          <w:t>https://www.cebnet.com.cn/20190603/102577577.html</w:t>
        </w:r>
      </w:hyperlink>
    </w:p>
    <w:p w14:paraId="3A7759BA" w14:textId="77777777" w:rsidR="00C42ACB" w:rsidRPr="00C42ACB" w:rsidRDefault="00C42ACB">
      <w:pPr>
        <w:rPr>
          <w:rFonts w:hint="eastAsia"/>
        </w:rPr>
      </w:pPr>
    </w:p>
    <w:sectPr w:rsidR="00C42ACB" w:rsidRPr="00C42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0398" w14:textId="77777777" w:rsidR="006631E1" w:rsidRDefault="006631E1" w:rsidP="00C42ACB">
      <w:r>
        <w:separator/>
      </w:r>
    </w:p>
  </w:endnote>
  <w:endnote w:type="continuationSeparator" w:id="0">
    <w:p w14:paraId="03C5950A" w14:textId="77777777" w:rsidR="006631E1" w:rsidRDefault="006631E1" w:rsidP="00C4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7A15" w14:textId="77777777" w:rsidR="006631E1" w:rsidRDefault="006631E1" w:rsidP="00C42ACB">
      <w:r>
        <w:separator/>
      </w:r>
    </w:p>
  </w:footnote>
  <w:footnote w:type="continuationSeparator" w:id="0">
    <w:p w14:paraId="315B0572" w14:textId="77777777" w:rsidR="006631E1" w:rsidRDefault="006631E1" w:rsidP="00C42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95E82"/>
    <w:multiLevelType w:val="multilevel"/>
    <w:tmpl w:val="E65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55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41"/>
    <w:rsid w:val="00256141"/>
    <w:rsid w:val="003B512E"/>
    <w:rsid w:val="006631E1"/>
    <w:rsid w:val="0087451B"/>
    <w:rsid w:val="00C4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B3889"/>
  <w15:chartTrackingRefBased/>
  <w15:docId w15:val="{C1899084-EC04-460E-9D01-B3F0FF30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2A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2ACB"/>
    <w:pPr>
      <w:tabs>
        <w:tab w:val="center" w:pos="4153"/>
        <w:tab w:val="right" w:pos="8306"/>
      </w:tabs>
      <w:snapToGrid w:val="0"/>
      <w:jc w:val="center"/>
    </w:pPr>
    <w:rPr>
      <w:sz w:val="18"/>
      <w:szCs w:val="18"/>
    </w:rPr>
  </w:style>
  <w:style w:type="character" w:customStyle="1" w:styleId="a4">
    <w:name w:val="页眉 字符"/>
    <w:basedOn w:val="a0"/>
    <w:link w:val="a3"/>
    <w:uiPriority w:val="99"/>
    <w:rsid w:val="00C42ACB"/>
    <w:rPr>
      <w:sz w:val="18"/>
      <w:szCs w:val="18"/>
    </w:rPr>
  </w:style>
  <w:style w:type="paragraph" w:styleId="a5">
    <w:name w:val="footer"/>
    <w:basedOn w:val="a"/>
    <w:link w:val="a6"/>
    <w:uiPriority w:val="99"/>
    <w:unhideWhenUsed/>
    <w:rsid w:val="00C42ACB"/>
    <w:pPr>
      <w:tabs>
        <w:tab w:val="center" w:pos="4153"/>
        <w:tab w:val="right" w:pos="8306"/>
      </w:tabs>
      <w:snapToGrid w:val="0"/>
      <w:jc w:val="left"/>
    </w:pPr>
    <w:rPr>
      <w:sz w:val="18"/>
      <w:szCs w:val="18"/>
    </w:rPr>
  </w:style>
  <w:style w:type="character" w:customStyle="1" w:styleId="a6">
    <w:name w:val="页脚 字符"/>
    <w:basedOn w:val="a0"/>
    <w:link w:val="a5"/>
    <w:uiPriority w:val="99"/>
    <w:rsid w:val="00C42ACB"/>
    <w:rPr>
      <w:sz w:val="18"/>
      <w:szCs w:val="18"/>
    </w:rPr>
  </w:style>
  <w:style w:type="character" w:customStyle="1" w:styleId="10">
    <w:name w:val="标题 1 字符"/>
    <w:basedOn w:val="a0"/>
    <w:link w:val="1"/>
    <w:uiPriority w:val="9"/>
    <w:rsid w:val="00C42ACB"/>
    <w:rPr>
      <w:rFonts w:ascii="宋体" w:eastAsia="宋体" w:hAnsi="宋体" w:cs="宋体"/>
      <w:b/>
      <w:bCs/>
      <w:kern w:val="36"/>
      <w:sz w:val="48"/>
      <w:szCs w:val="48"/>
    </w:rPr>
  </w:style>
  <w:style w:type="character" w:customStyle="1" w:styleId="writer">
    <w:name w:val="writer"/>
    <w:basedOn w:val="a0"/>
    <w:rsid w:val="00C42ACB"/>
  </w:style>
  <w:style w:type="character" w:customStyle="1" w:styleId="source-from">
    <w:name w:val="source-from"/>
    <w:basedOn w:val="a0"/>
    <w:rsid w:val="00C42ACB"/>
  </w:style>
  <w:style w:type="character" w:customStyle="1" w:styleId="source-form-world">
    <w:name w:val="source-form-world"/>
    <w:basedOn w:val="a0"/>
    <w:rsid w:val="00C42ACB"/>
  </w:style>
  <w:style w:type="character" w:customStyle="1" w:styleId="time">
    <w:name w:val="time"/>
    <w:basedOn w:val="a0"/>
    <w:rsid w:val="00C42ACB"/>
  </w:style>
  <w:style w:type="character" w:customStyle="1" w:styleId="tag">
    <w:name w:val="tag"/>
    <w:basedOn w:val="a0"/>
    <w:rsid w:val="00C42ACB"/>
  </w:style>
  <w:style w:type="character" w:styleId="a7">
    <w:name w:val="Hyperlink"/>
    <w:basedOn w:val="a0"/>
    <w:uiPriority w:val="99"/>
    <w:unhideWhenUsed/>
    <w:rsid w:val="00C42ACB"/>
    <w:rPr>
      <w:color w:val="0000FF"/>
      <w:u w:val="single"/>
    </w:rPr>
  </w:style>
  <w:style w:type="paragraph" w:styleId="a8">
    <w:name w:val="Normal (Web)"/>
    <w:basedOn w:val="a"/>
    <w:uiPriority w:val="99"/>
    <w:semiHidden/>
    <w:unhideWhenUsed/>
    <w:rsid w:val="00C42AC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42ACB"/>
    <w:rPr>
      <w:b/>
      <w:bCs/>
    </w:rPr>
  </w:style>
  <w:style w:type="paragraph" w:customStyle="1" w:styleId="wx">
    <w:name w:val="wx"/>
    <w:basedOn w:val="a"/>
    <w:rsid w:val="00C42ACB"/>
    <w:pPr>
      <w:widowControl/>
      <w:spacing w:before="100" w:beforeAutospacing="1" w:after="100" w:afterAutospacing="1"/>
      <w:jc w:val="left"/>
    </w:pPr>
    <w:rPr>
      <w:rFonts w:ascii="宋体" w:eastAsia="宋体" w:hAnsi="宋体" w:cs="宋体"/>
      <w:kern w:val="0"/>
      <w:sz w:val="24"/>
      <w:szCs w:val="24"/>
    </w:rPr>
  </w:style>
  <w:style w:type="paragraph" w:customStyle="1" w:styleId="qq">
    <w:name w:val="qq"/>
    <w:basedOn w:val="a"/>
    <w:rsid w:val="00C42ACB"/>
    <w:pPr>
      <w:widowControl/>
      <w:spacing w:before="100" w:beforeAutospacing="1" w:after="100" w:afterAutospacing="1"/>
      <w:jc w:val="left"/>
    </w:pPr>
    <w:rPr>
      <w:rFonts w:ascii="宋体" w:eastAsia="宋体" w:hAnsi="宋体" w:cs="宋体"/>
      <w:kern w:val="0"/>
      <w:sz w:val="24"/>
      <w:szCs w:val="24"/>
    </w:rPr>
  </w:style>
  <w:style w:type="paragraph" w:customStyle="1" w:styleId="wb">
    <w:name w:val="wb"/>
    <w:basedOn w:val="a"/>
    <w:rsid w:val="00C42ACB"/>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C4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09191">
      <w:bodyDiv w:val="1"/>
      <w:marLeft w:val="0"/>
      <w:marRight w:val="0"/>
      <w:marTop w:val="0"/>
      <w:marBottom w:val="0"/>
      <w:divBdr>
        <w:top w:val="none" w:sz="0" w:space="0" w:color="auto"/>
        <w:left w:val="none" w:sz="0" w:space="0" w:color="auto"/>
        <w:bottom w:val="none" w:sz="0" w:space="0" w:color="auto"/>
        <w:right w:val="none" w:sz="0" w:space="0" w:color="auto"/>
      </w:divBdr>
      <w:divsChild>
        <w:div w:id="723914722">
          <w:marLeft w:val="0"/>
          <w:marRight w:val="0"/>
          <w:marTop w:val="300"/>
          <w:marBottom w:val="600"/>
          <w:divBdr>
            <w:top w:val="none" w:sz="0" w:space="0" w:color="auto"/>
            <w:left w:val="none" w:sz="0" w:space="0" w:color="auto"/>
            <w:bottom w:val="none" w:sz="0" w:space="0" w:color="auto"/>
            <w:right w:val="none" w:sz="0" w:space="0" w:color="auto"/>
          </w:divBdr>
          <w:divsChild>
            <w:div w:id="1284311102">
              <w:marLeft w:val="0"/>
              <w:marRight w:val="0"/>
              <w:marTop w:val="0"/>
              <w:marBottom w:val="0"/>
              <w:divBdr>
                <w:top w:val="none" w:sz="0" w:space="0" w:color="auto"/>
                <w:left w:val="none" w:sz="0" w:space="0" w:color="auto"/>
                <w:bottom w:val="none" w:sz="0" w:space="0" w:color="auto"/>
                <w:right w:val="none" w:sz="0" w:space="0" w:color="auto"/>
              </w:divBdr>
            </w:div>
          </w:divsChild>
        </w:div>
        <w:div w:id="1694569021">
          <w:marLeft w:val="0"/>
          <w:marRight w:val="0"/>
          <w:marTop w:val="0"/>
          <w:marBottom w:val="0"/>
          <w:divBdr>
            <w:top w:val="none" w:sz="0" w:space="0" w:color="auto"/>
            <w:left w:val="none" w:sz="0" w:space="0" w:color="auto"/>
            <w:bottom w:val="none" w:sz="0" w:space="0" w:color="auto"/>
            <w:right w:val="none" w:sz="0" w:space="0" w:color="auto"/>
          </w:divBdr>
        </w:div>
        <w:div w:id="397899878">
          <w:marLeft w:val="0"/>
          <w:marRight w:val="0"/>
          <w:marTop w:val="0"/>
          <w:marBottom w:val="0"/>
          <w:divBdr>
            <w:top w:val="none" w:sz="0" w:space="0" w:color="auto"/>
            <w:left w:val="none" w:sz="0" w:space="0" w:color="auto"/>
            <w:bottom w:val="none" w:sz="0" w:space="0" w:color="auto"/>
            <w:right w:val="none" w:sz="0" w:space="0" w:color="auto"/>
          </w:divBdr>
          <w:divsChild>
            <w:div w:id="1518273990">
              <w:marLeft w:val="12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bnet.com.cn/search/result.shtml?siteID=123&amp;query=%E4%BA%A4%E6%98%93" TargetMode="External"/><Relationship Id="rId3" Type="http://schemas.openxmlformats.org/officeDocument/2006/relationships/settings" Target="settings.xml"/><Relationship Id="rId7" Type="http://schemas.openxmlformats.org/officeDocument/2006/relationships/hyperlink" Target="https://www.cebnet.com.cn/search/result.shtml?siteID=123&amp;query=%E8%B4%A7%E5%B8%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ebnet.com.cn/20190603/102577577.html" TargetMode="External"/><Relationship Id="rId4" Type="http://schemas.openxmlformats.org/officeDocument/2006/relationships/webSettings" Target="webSettings.xml"/><Relationship Id="rId9" Type="http://schemas.openxmlformats.org/officeDocument/2006/relationships/hyperlink" Target="https://www.cebnet.com.cn/fint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4</cp:revision>
  <dcterms:created xsi:type="dcterms:W3CDTF">2023-09-22T02:06:00Z</dcterms:created>
  <dcterms:modified xsi:type="dcterms:W3CDTF">2023-09-22T02:20:00Z</dcterms:modified>
</cp:coreProperties>
</file>