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6376E" w14:textId="77777777" w:rsidR="00086B6F" w:rsidRPr="00086B6F" w:rsidRDefault="00086B6F" w:rsidP="00086B6F">
      <w:pPr>
        <w:widowControl/>
        <w:shd w:val="clear" w:color="auto" w:fill="FFFFFF"/>
        <w:jc w:val="left"/>
        <w:rPr>
          <w:rFonts w:ascii="微软雅黑" w:eastAsia="微软雅黑" w:hAnsi="微软雅黑" w:cs="宋体"/>
          <w:kern w:val="0"/>
          <w:szCs w:val="21"/>
        </w:rPr>
      </w:pPr>
      <w:r w:rsidRPr="00086B6F">
        <w:rPr>
          <w:rFonts w:ascii="微软雅黑" w:eastAsia="微软雅黑" w:hAnsi="微软雅黑" w:cs="宋体" w:hint="eastAsia"/>
          <w:kern w:val="0"/>
          <w:szCs w:val="21"/>
        </w:rPr>
        <w:t>2021-11-12 16:41</w:t>
      </w:r>
    </w:p>
    <w:p w14:paraId="19D95200" w14:textId="77777777" w:rsidR="00086B6F" w:rsidRPr="00086B6F" w:rsidRDefault="00086B6F" w:rsidP="00086B6F">
      <w:pPr>
        <w:widowControl/>
        <w:shd w:val="clear" w:color="auto" w:fill="FFFFFF"/>
        <w:spacing w:before="360" w:after="360" w:line="300" w:lineRule="atLeast"/>
        <w:jc w:val="left"/>
        <w:outlineLvl w:val="0"/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</w:pPr>
      <w:proofErr w:type="gramStart"/>
      <w:r w:rsidRPr="00086B6F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研</w:t>
      </w:r>
      <w:proofErr w:type="gramEnd"/>
      <w:r w:rsidRPr="00086B6F">
        <w:rPr>
          <w:rFonts w:ascii="微软雅黑" w:eastAsia="微软雅黑" w:hAnsi="微软雅黑" w:cs="宋体" w:hint="eastAsia"/>
          <w:b/>
          <w:bCs/>
          <w:kern w:val="36"/>
          <w:sz w:val="42"/>
          <w:szCs w:val="42"/>
        </w:rPr>
        <w:t>报 | 深入解析以太坊2.0的最大受益者——Lido</w:t>
      </w:r>
    </w:p>
    <w:p w14:paraId="412B9813" w14:textId="5CA4F415" w:rsidR="00086B6F" w:rsidRPr="00086B6F" w:rsidRDefault="00086B6F" w:rsidP="00086B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Cs w:val="21"/>
        </w:rPr>
      </w:pPr>
      <w:hyperlink r:id="rId5" w:tgtFrame="_blank" w:history="1">
        <w:r w:rsidRPr="00086B6F">
          <w:rPr>
            <w:rFonts w:ascii="微软雅黑" w:eastAsia="微软雅黑" w:hAnsi="微软雅黑" w:cs="宋体"/>
            <w:noProof/>
            <w:color w:val="0000FF"/>
            <w:kern w:val="0"/>
            <w:szCs w:val="21"/>
          </w:rPr>
          <w:drawing>
            <wp:inline distT="0" distB="0" distL="0" distR="0" wp14:anchorId="6371B2F2" wp14:editId="53541B37">
              <wp:extent cx="3810000" cy="3810000"/>
              <wp:effectExtent l="0" t="0" r="0" b="0"/>
              <wp:docPr id="1479222728" name="图片 12">
                <a:hlinkClick xmlns:a="http://schemas.openxmlformats.org/drawingml/2006/main" r:id="rId5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>
                        <a:hlinkClick r:id="rId5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10000" cy="381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proofErr w:type="gramStart"/>
        <w:r w:rsidRPr="00086B6F">
          <w:rPr>
            <w:rFonts w:ascii="微软雅黑" w:eastAsia="微软雅黑" w:hAnsi="微软雅黑" w:cs="宋体" w:hint="eastAsia"/>
            <w:color w:val="0000FF"/>
            <w:kern w:val="0"/>
            <w:szCs w:val="21"/>
          </w:rPr>
          <w:t>加密龙帅</w:t>
        </w:r>
        <w:proofErr w:type="gramEnd"/>
      </w:hyperlink>
      <w:r w:rsidRPr="00086B6F">
        <w:rPr>
          <w:rFonts w:ascii="微软雅黑" w:eastAsia="微软雅黑" w:hAnsi="微软雅黑" w:cs="宋体" w:hint="eastAsia"/>
          <w:kern w:val="0"/>
          <w:szCs w:val="21"/>
        </w:rPr>
        <w:t>发布在</w:t>
      </w:r>
      <w:hyperlink r:id="rId7" w:history="1">
        <w:r w:rsidRPr="00086B6F">
          <w:rPr>
            <w:rFonts w:ascii="微软雅黑" w:eastAsia="微软雅黑" w:hAnsi="微软雅黑" w:cs="宋体" w:hint="eastAsia"/>
            <w:color w:val="0000FF"/>
            <w:kern w:val="0"/>
            <w:szCs w:val="21"/>
            <w:u w:val="single"/>
          </w:rPr>
          <w:t>海盗号</w:t>
        </w:r>
      </w:hyperlink>
    </w:p>
    <w:p w14:paraId="4075F515" w14:textId="77777777" w:rsidR="00086B6F" w:rsidRPr="00086B6F" w:rsidRDefault="00086B6F" w:rsidP="00086B6F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kern w:val="0"/>
          <w:szCs w:val="21"/>
        </w:rPr>
      </w:pPr>
      <w:r w:rsidRPr="00086B6F">
        <w:rPr>
          <w:rFonts w:ascii="微软雅黑" w:eastAsia="微软雅黑" w:hAnsi="微软雅黑" w:cs="宋体" w:hint="eastAsia"/>
          <w:kern w:val="0"/>
          <w:szCs w:val="21"/>
        </w:rPr>
        <w:t> 15.6万</w:t>
      </w:r>
    </w:p>
    <w:p w14:paraId="0847FADA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在摩根大通的研究报告里，Staking被描述为400亿美元收入的市场，现在全球的Defi规模才刚刚达到1000亿美元TVL，这意味着以太坊的2.0升级，将在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Staking市场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再造1个Defi。</w:t>
      </w:r>
    </w:p>
    <w:p w14:paraId="4C6F36F7" w14:textId="785A4933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lastRenderedPageBreak/>
        <w:drawing>
          <wp:inline distT="0" distB="0" distL="0" distR="0" wp14:anchorId="1BEAD671" wp14:editId="17822F39">
            <wp:extent cx="5274310" cy="2647950"/>
            <wp:effectExtent l="0" t="0" r="2540" b="0"/>
            <wp:docPr id="73283870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C7D4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这是1个性感的领域，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以太坊从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POW转向POS正在加速这个行业。除了以太坊外，其他采用POS机制或者DPOS机制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的公链也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在成长，包括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Polkadot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Tezos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、Terra、Cosmos、Solana、Mina等，以太坊的改旗易帜，无疑会加强大众对于POS的信心。</w:t>
      </w:r>
    </w:p>
    <w:p w14:paraId="4B7F7EBC" w14:textId="1857849B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1B316F71" wp14:editId="37782CB2">
            <wp:extent cx="5274310" cy="2624455"/>
            <wp:effectExtent l="0" t="0" r="2540" b="4445"/>
            <wp:docPr id="178796085" name="图片 10" descr="来自摩根大通报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来自摩根大通报告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DFFD" w14:textId="77777777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center"/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</w:pPr>
      <w:r w:rsidRPr="00086B6F"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  <w:t>来自摩根大通报告</w:t>
      </w:r>
    </w:p>
    <w:p w14:paraId="7BF6EA1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一切都要从以太坊的信标链说起，在去年12月份以太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坊启动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了新的主网，宣告着以太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坊正式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向权益证明POS过渡。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PoS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 xml:space="preserve"> 允许用户质押他们的 ETH ，和运行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lastRenderedPageBreak/>
        <w:t>名为“验证者”的区块生成节点，从而保障整个网络的安全，并获得增发的ETH作为奖励。</w:t>
      </w:r>
    </w:p>
    <w:p w14:paraId="4A804874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POS网络上线8个月以后，已拥有超过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20万个活跃验证者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，网络中已经质押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662万个ETH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，几乎占ETH总流通量的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6%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。截至目前，Staking的年回报率约为</w:t>
      </w:r>
      <w:commentRangeStart w:id="0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6%</w:t>
      </w:r>
      <w:commentRangeEnd w:id="0"/>
      <w:r w:rsidR="00CC4FBB">
        <w:rPr>
          <w:rStyle w:val="a6"/>
        </w:rPr>
        <w:commentReference w:id="0"/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366875F7" w14:textId="27040E16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528CF2FA" wp14:editId="1963DC38">
            <wp:extent cx="5274310" cy="2422525"/>
            <wp:effectExtent l="0" t="0" r="2540" b="0"/>
            <wp:docPr id="14938145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246D1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这是以太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坊历史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中的一次大搬家，那些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屯币党们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，终于可以质押手中的ETH了。</w:t>
      </w:r>
    </w:p>
    <w:p w14:paraId="00E3A1B6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37BF782B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  <w:t>如何质押ETH2.0</w:t>
      </w:r>
    </w:p>
    <w:p w14:paraId="4771D42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74E59D62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要单独质押，用户必须向ETH2存款合约存入32个ETH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同时指定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两个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关键参数：</w:t>
      </w:r>
    </w:p>
    <w:p w14:paraId="27D3AD0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lastRenderedPageBreak/>
        <w:t>验证者公</w:t>
      </w:r>
      <w:proofErr w:type="gram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钥</w:t>
      </w:r>
      <w:proofErr w:type="gram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br/>
        <w:t>在入金前，用户需为其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验证器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生成密钥对。私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钥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用于在区块上签名，而公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钥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则作为其唯一的标识符。</w:t>
      </w:r>
    </w:p>
    <w:p w14:paraId="7EA23CF5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存入32个ETH的提现凭证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br/>
        <w:t>一旦启用提现，本金（32个ETH）和质押奖励只能提现到该地址。</w:t>
      </w:r>
    </w:p>
    <w:p w14:paraId="31098B86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关键是，公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钥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和提款凭证不需要由同一实体控制。</w:t>
      </w:r>
    </w:p>
    <w:p w14:paraId="563A6BB8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之后，用户只需操作一个ETH2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验证器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节点，并在轮到他们时在区块上签名即可，不遵守协议是要受到惩罚的。</w:t>
      </w:r>
    </w:p>
    <w:p w14:paraId="1A435C18" w14:textId="779C0E75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0452521E" wp14:editId="1E6DDBF5">
            <wp:extent cx="5274310" cy="2969260"/>
            <wp:effectExtent l="0" t="0" r="2540" b="2540"/>
            <wp:docPr id="15203650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CDE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由于限定条件的出现，质押者会遇到下面这些问题：</w:t>
      </w:r>
    </w:p>
    <w:p w14:paraId="5C58C254" w14:textId="77777777" w:rsidR="00086B6F" w:rsidRPr="00086B6F" w:rsidRDefault="00086B6F" w:rsidP="00086B6F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lastRenderedPageBreak/>
        <w:t>早期质押的机会成本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一旦质押了以太坊，在信标链启用转账功能之前，验证者都无法提出他们的以太坊。这意味着在未来的几个月甚至是几年里，参与质押都是一个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单向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的过程。</w:t>
      </w:r>
    </w:p>
    <w:p w14:paraId="54240A6C" w14:textId="77777777" w:rsidR="00086B6F" w:rsidRPr="00086B6F" w:rsidRDefault="00086B6F" w:rsidP="00086B6F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缺乏流动性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在质押的过程中，用户不能转移、交易他们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们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 ETH，也不能使用其 ETH 作为抵押品参与 DeFi 协议。无法从信标链中提出质押金，这个代价是尤其大的。</w:t>
      </w:r>
    </w:p>
    <w:p w14:paraId="05B0BF62" w14:textId="77777777" w:rsidR="00086B6F" w:rsidRPr="00086B6F" w:rsidRDefault="00086B6F" w:rsidP="00086B6F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高资本要求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用户质押的 ETH 数量只能是 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32 及 32 的倍数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，将数量较少或并非为32倍数的用户排除在门槛之外。</w:t>
      </w:r>
    </w:p>
    <w:p w14:paraId="68AAC686" w14:textId="77777777" w:rsidR="00086B6F" w:rsidRPr="00086B6F" w:rsidRDefault="00086B6F" w:rsidP="00086B6F">
      <w:pPr>
        <w:widowControl/>
        <w:numPr>
          <w:ilvl w:val="0"/>
          <w:numId w:val="1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操作上的负担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尽管以太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坊核心开发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者表示质押对硬件和正常运行时间的要求较低，但许多用户仍然偏向于提供资金，然后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将运营工作外包给第三方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7A8EFE29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  <w:highlight w:val="yellow"/>
        </w:rPr>
        <w:t>质押池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的引入</w:t>
      </w:r>
    </w:p>
    <w:p w14:paraId="5AB951E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为了帮助解决上述问题， 引入了质押池的概念，即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将用户的 ETH 集中起来，为他们提供质押服务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，一如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当年矿池的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诞生，但门槛远比POW的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矿池低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这样处理带来了如下好处：</w:t>
      </w:r>
    </w:p>
    <w:p w14:paraId="12889B49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取消了以太坊的质押门槛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:任何数量的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以太坊都被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允许，不再有32最小额和32倍数的限制。</w:t>
      </w:r>
    </w:p>
    <w:p w14:paraId="1DB9FD1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质押</w:t>
      </w:r>
      <w:proofErr w:type="gram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池统一</w:t>
      </w:r>
      <w:proofErr w:type="gram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负责验证者节点的操作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: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小白用户只需要简单地将以太坊质押过去即可，部分质押池提供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保险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，防止未遵守协议被罚没的风险。</w:t>
      </w:r>
    </w:p>
    <w:p w14:paraId="033000D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lastRenderedPageBreak/>
        <w:t>类似于余额宝，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预设不是所有的用户都想要在同一时间提款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，这样就可以保持一个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流动 ETH 的储备池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，以满足立即提款的需求。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这就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取消了提款期，让以太坊质押变成了活期储蓄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。</w:t>
      </w:r>
    </w:p>
    <w:p w14:paraId="639D7154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部分质押池会提供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质押凭证代币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，这些代币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被允许在部分Defi协议中使用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，从而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获得了想要的</w:t>
      </w:r>
      <w:commentRangeStart w:id="1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流动性</w:t>
      </w:r>
      <w:commentRangeEnd w:id="1"/>
      <w:r w:rsidR="003F77A3">
        <w:rPr>
          <w:rStyle w:val="a6"/>
        </w:rPr>
        <w:commentReference w:id="1"/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2A117DF5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现有的以太坊质押格局</w:t>
      </w:r>
    </w:p>
    <w:p w14:paraId="7C19F3B2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最早开启以太坊质押服务的是中心化的交易所，为了获取顾客和流动性，一些交易所免费为用户提供这项服务，中心化交易所成为了以太坊质押的早期赢家。由 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Kraken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或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Binance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等交易所运营的验证者节点成为占比最大的群体。</w:t>
      </w:r>
    </w:p>
    <w:p w14:paraId="0AA6EFC0" w14:textId="1E609038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lastRenderedPageBreak/>
        <w:drawing>
          <wp:inline distT="0" distB="0" distL="0" distR="0" wp14:anchorId="6524EE96" wp14:editId="362757D0">
            <wp:extent cx="5274310" cy="7396480"/>
            <wp:effectExtent l="0" t="0" r="2540" b="0"/>
            <wp:docPr id="15072138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9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446F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上图可以看到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以太坊Staking池的头部，被中心化交易所把持着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，这和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以太坊去中心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的理念是背道而驰的。</w:t>
      </w:r>
    </w:p>
    <w:p w14:paraId="0C762C32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lastRenderedPageBreak/>
        <w:t>因此，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以太坊质押池</w:t>
      </w:r>
      <w:proofErr w:type="gram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完全去</w:t>
      </w:r>
      <w:proofErr w:type="gram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中心化显得尤为重要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</w:p>
    <w:p w14:paraId="2C8A33C9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以以太坊的安全为中心：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如前所述，许多用户希望委托其质押服务。但由于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以太坊不支持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协议内委托，这为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第三方质押服务商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提供了一个机会。考虑到安全性对于以太坊来说是多么重要，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去中心化的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质押池比需要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信任的和中心化的质押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池更为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可取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4CF173A5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质押具有中心化力量：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PoS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 Staking (质押) 可能要比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PoW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 Mining (挖矿) 更加中心化，支持更加少数、更加集中的赢家。这是因为质押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池能够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发行一个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 xml:space="preserve">流动的质押衍生品 (如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)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并以此创造一个强大的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网络效应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，而这是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PoW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所没有的。</w:t>
      </w:r>
    </w:p>
    <w:p w14:paraId="65EE61AC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在</w:t>
      </w:r>
      <w:commentRangeStart w:id="2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以太坊社区的扶持</w:t>
      </w:r>
      <w:commentRangeEnd w:id="2"/>
      <w:r w:rsidR="008567E2">
        <w:rPr>
          <w:rStyle w:val="a6"/>
        </w:rPr>
        <w:commentReference w:id="2"/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下，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去中心以太坊质押协议Lido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诞生了!!</w:t>
      </w:r>
    </w:p>
    <w:p w14:paraId="0525F06F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1B8589D9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  <w:t>Lido是什么</w:t>
      </w:r>
    </w:p>
    <w:p w14:paraId="6D061429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1D4049EE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 DAO是一个为Ethereum建立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流动性质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押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服务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的社区。Lido允许用户在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不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锁定资产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或维护质押基础设施的情况下获得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质押奖励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4660EBA1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当使用 Lido 在以太坊信标链上质押 ETH 时，用户将收到一个代币 (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)，该代币以 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1:1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的比例代表他们在以太坊信标链上的 ETH。它有效地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充当了将 ETH 2.0 的质押奖励带到 ETH 1.0 的桥梁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0F3C53DC" w14:textId="1B8DB67A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lastRenderedPageBreak/>
        <w:drawing>
          <wp:inline distT="0" distB="0" distL="0" distR="0" wp14:anchorId="54E1D858" wp14:editId="18D0C120">
            <wp:extent cx="5274310" cy="2533650"/>
            <wp:effectExtent l="0" t="0" r="2540" b="0"/>
            <wp:docPr id="2271135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9E6A2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随着用户质押的 ETH 产生来自 ETH 2.0 的质押奖励，用户在信标链上的 ETH 余额将会增加。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余额每天会相应更新一次，允许您在 ETH 1.0 上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访问您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在 ETH 2.0 上获得的质押奖励的价值。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br/>
        <w:t xml:space="preserve">用户可以以与使用 ETH 相同的所有方式使用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出售、使用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它，并且由于它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与 DeFi 兼容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，因此可以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将其用作链上借贷的抵押品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。当在 ETH 2.0 上启用交易时，用户还可以将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兑换为 ETH。</w:t>
      </w:r>
    </w:p>
    <w:p w14:paraId="31C181CF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Lido的结构组成</w:t>
      </w:r>
    </w:p>
    <w:p w14:paraId="679DBB70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以下是对Lido质押协议的组成部分的大致描述</w:t>
      </w:r>
    </w:p>
    <w:p w14:paraId="292C9E57" w14:textId="77777777" w:rsidR="00086B6F" w:rsidRPr="00086B6F" w:rsidRDefault="00086B6F" w:rsidP="00086B6F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质押池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管理存款、质押奖励和提款的协议</w:t>
      </w:r>
    </w:p>
    <w:p w14:paraId="2FC3439A" w14:textId="77777777" w:rsidR="00086B6F" w:rsidRPr="00086B6F" w:rsidRDefault="00086B6F" w:rsidP="00086B6F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节点运营商注册表</w:t>
      </w:r>
    </w:p>
    <w:p w14:paraId="7105362C" w14:textId="77777777" w:rsidR="00086B6F" w:rsidRPr="00086B6F" w:rsidRDefault="00086B6F" w:rsidP="00086B6F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提款凭证</w:t>
      </w:r>
    </w:p>
    <w:p w14:paraId="6FFC1DE8" w14:textId="77777777" w:rsidR="00086B6F" w:rsidRPr="00086B6F" w:rsidRDefault="00086B6F" w:rsidP="00086B6F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预言机</w:t>
      </w:r>
    </w:p>
    <w:p w14:paraId="36144B16" w14:textId="77777777" w:rsidR="00086B6F" w:rsidRPr="00086B6F" w:rsidRDefault="00086B6F" w:rsidP="00086B6F">
      <w:pPr>
        <w:widowControl/>
        <w:numPr>
          <w:ilvl w:val="0"/>
          <w:numId w:val="2"/>
        </w:numPr>
        <w:shd w:val="clear" w:color="auto" w:fill="FFFFFF"/>
        <w:wordWrap w:val="0"/>
        <w:spacing w:before="100" w:beforeAutospacing="1" w:after="100" w:afterAutospacing="1"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奖励</w:t>
      </w:r>
    </w:p>
    <w:p w14:paraId="439163EF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lastRenderedPageBreak/>
        <w:t>stETH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流动质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押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代币，保持与你的信标链ETH份额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1比1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的平衡。</w:t>
      </w:r>
    </w:p>
    <w:p w14:paraId="3BB3929A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DAO：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管理协议参数的自治组织</w:t>
      </w:r>
    </w:p>
    <w:p w14:paraId="730C026C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质押池</w:t>
      </w:r>
    </w:p>
    <w:p w14:paraId="2EC5D954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质押池是Lido的核心智能合约。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该合约负责以太坊的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存款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提款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；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铸造和燃烧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代币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；将资金委托给节点操作员；将费用应用于质押奖励；并接受来自oracle合约的更新。节点操作员的管理逻辑被提取到一个单独的合同。</w:t>
      </w:r>
    </w:p>
    <w:p w14:paraId="772F3B29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用户将发送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以太坊给质押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池合约，以获得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铸造的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代币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作为回报。该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以太坊将在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节点运营商之间分配，以保持统一的分配，并存入其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验证器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进行验证。该以太坊的提款凭证将被设置为分布式保管的阈值签名，或者，如果提款到eth1地址将被社区接受，则设置为可升级的智能合约，当它们被启用时将处理提款。</w:t>
      </w:r>
    </w:p>
    <w:p w14:paraId="69FD9751" w14:textId="4CDA0D54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7735785D" wp14:editId="08AF6C4A">
            <wp:extent cx="5274310" cy="2740660"/>
            <wp:effectExtent l="0" t="0" r="2540" b="2540"/>
            <wp:docPr id="4493910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EF58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  <w:highlight w:val="yellow"/>
        </w:rPr>
        <w:t>节点运营商</w:t>
      </w:r>
    </w:p>
    <w:p w14:paraId="45C4D28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lastRenderedPageBreak/>
        <w:t>用户质押ETH到Lido协议后，所有质押都按32 ETH划分，并分配给节点运营商，由他们负责验证这些质押存款的使用。节点运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维商永远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不能直接访问用户的以太网络。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节点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运维商由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Lido DAO负责核实审批，目前通过Snapshot治理投票。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节点运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维商先进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入Lido测试网络进行测试，然后才进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入主网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正式节点运行。Lido不要求节点运营商存放等量的质押头寸。相反，Lido DAO选择的节点运营商必须有资产押注的经验，风险由于Lido DAO里面的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保险提供兜底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。目前看，这种方法将使该体系的资本效率更高。</w:t>
      </w:r>
    </w:p>
    <w:p w14:paraId="2ACDF497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Lido智能合约资金存入Lido协议智能合约，然后锁定在以太坊权益证明存款合约中。由Lido DAO控制的阈值签名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帐户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被指定为驻留提取地址，目前是由Lido DAO控制的多签负责。只有当传输和智能合约在以太坊2.0（最快2021年底）实现时，质押的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以太坊才可以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退出。那时Lido协议将进行升级，每个用户将自己控制自己的私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钥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，无中间控制层。</w:t>
      </w:r>
    </w:p>
    <w:p w14:paraId="3A2D1362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  <w:highlight w:val="yellow"/>
        </w:rPr>
        <w:t>预言机</w:t>
      </w:r>
    </w:p>
    <w:p w14:paraId="6E4D57D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预言机是一个跟踪DAO的验证者在信标链上的余额的合约。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余额可以因为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奖励的积累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而上升，也可以因为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退出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和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质押的惩罚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而下降。预言机是由DAO分配的。数据每天发送，用于为用户提供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代币的准确余额。在有奖励的日子里，有少量的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代币被铸造给节点运营商和DAO的保险和发展基金，代表奖励费。</w:t>
      </w:r>
    </w:p>
    <w:p w14:paraId="28309B25" w14:textId="101BECCC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commentRangeStart w:id="3"/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lastRenderedPageBreak/>
        <w:drawing>
          <wp:inline distT="0" distB="0" distL="0" distR="0" wp14:anchorId="5957842A" wp14:editId="640788E7">
            <wp:extent cx="5274310" cy="3795395"/>
            <wp:effectExtent l="0" t="0" r="2540" b="0"/>
            <wp:docPr id="3451442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9F511E">
        <w:rPr>
          <w:rStyle w:val="a6"/>
        </w:rPr>
        <w:commentReference w:id="3"/>
      </w:r>
    </w:p>
    <w:p w14:paraId="6BBC969B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t>代币</w:t>
      </w:r>
    </w:p>
    <w:p w14:paraId="3CEAB30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 xml:space="preserve"> 是 Lido 的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流动代币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，相当于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抵押的以太坊凭证</w:t>
      </w: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。</w:t>
      </w:r>
    </w:p>
    <w:p w14:paraId="12E374DB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用户可以通过 Lido 质押他们的以太币，绕过直接质押 Eth2 存款合约的限制（流动性不足、不可移动性和不可访问性）。</w:t>
      </w:r>
    </w:p>
    <w:p w14:paraId="3B06B074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 xml:space="preserve">Lido 的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 xml:space="preserve"> 完全旨在适用于各种不同的 DeFi 协议。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这些用例可以包括借贷协议、DEX 或流动性池、收益聚合器、收益优化器、衍生品等。</w:t>
      </w:r>
    </w:p>
    <w:p w14:paraId="0AAC2324" w14:textId="79FCECFC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lastRenderedPageBreak/>
        <w:drawing>
          <wp:inline distT="0" distB="0" distL="0" distR="0" wp14:anchorId="0D762D2E" wp14:editId="7C8AF599">
            <wp:extent cx="5274310" cy="2533650"/>
            <wp:effectExtent l="0" t="0" r="2540" b="0"/>
            <wp:docPr id="18874584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CDD1F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除了为用户提供以太坊 2.0 质押服务外，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 xml:space="preserve"> 所能参与的 DeFi 生态也是项目重要的一环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。目前，Lido 已与 Curve，Yearn、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ARCx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等达成合作。</w:t>
      </w:r>
    </w:p>
    <w:p w14:paraId="364B94DA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  <w:highlight w:val="yellow"/>
        </w:rPr>
        <w:t xml:space="preserve"> 可以与普通 ETH 一起汇集到流动性池中。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这反过来又允许用户间接取消抵押他们的 ETH 并通过池交换收回他们的初始 ETH 存款，如果用户决定他们想要取消抵押，则绕过了等待 Eth2 上的交易启用所需的时间。</w:t>
      </w:r>
    </w:p>
    <w:p w14:paraId="0C9A3794" w14:textId="09CB9440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09B00319" wp14:editId="5CB43E6C">
            <wp:extent cx="5274310" cy="2911475"/>
            <wp:effectExtent l="0" t="0" r="2540" b="3175"/>
            <wp:docPr id="825962441" name="图片 2" descr="Curve Finance 上的 stETH/ETH 矿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urve Finance 上的 stETH/ETH 矿池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EE14" w14:textId="77777777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center"/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</w:pPr>
      <w:r w:rsidRPr="00086B6F"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  <w:t xml:space="preserve">Curve Finance 上的 </w:t>
      </w:r>
      <w:proofErr w:type="spellStart"/>
      <w:r w:rsidRPr="00086B6F"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999999"/>
          <w:kern w:val="0"/>
          <w:sz w:val="20"/>
          <w:szCs w:val="20"/>
        </w:rPr>
        <w:t>/ETH 矿池</w:t>
      </w:r>
    </w:p>
    <w:p w14:paraId="6F84296A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lastRenderedPageBreak/>
        <w:t>Lido DAO</w:t>
      </w:r>
    </w:p>
    <w:p w14:paraId="3C35B188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要在Lido DAO中拥有投票权，必须持有其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治理令牌LDO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。LDO投票权重与投票人在投票合同中的LDO份额成比例。LDO锁定在用户的投票合同中越多，投票者获得的决策权就越大。</w:t>
      </w:r>
    </w:p>
    <w:p w14:paraId="72E88924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目前拥有的投票治理权限是：</w:t>
      </w:r>
    </w:p>
    <w:p w14:paraId="5DE22901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初始阶段:</w:t>
      </w:r>
    </w:p>
    <w:p w14:paraId="484C002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1.部署协议智能合约,设置费用等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协议参数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,在愿意提供服务的有信誉的个人或组织中选择门槛签名方案参与者,方便多方计算仪式，创建计分奖励的门槛签名账户,分配初始的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dao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审查节点操作符。</w:t>
      </w:r>
    </w:p>
    <w:p w14:paraId="26AF9F02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2.建议和更新Lido的参数</w:t>
      </w:r>
    </w:p>
    <w:p w14:paraId="3A73CF57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3.批准对实现DAO目标的各方的激励(例如，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流动性提供者)</w:t>
      </w:r>
    </w:p>
    <w:p w14:paraId="07E61E9E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4.建议并更新Lido实现，使用DAO资金引入以太坊2.0特性;分配oracle来提供奖励/削减率饲料,以帮助建立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ETH代币平衡</w:t>
      </w:r>
    </w:p>
    <w:p w14:paraId="223136FE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5.对新的节点运营商进行甄别，对以太坊2.0规则触碰的现有节点运营商进行惩罚</w:t>
      </w:r>
    </w:p>
    <w:p w14:paraId="55176C77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6.管理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LidoDAO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的保险和发展资金</w:t>
      </w:r>
    </w:p>
    <w:p w14:paraId="7EA8E1ED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7.一旦在以太坊2.0可用，管理解除绑定和提现</w:t>
      </w:r>
    </w:p>
    <w:p w14:paraId="2FF032FD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2"/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0"/>
          <w:szCs w:val="30"/>
        </w:rPr>
        <w:lastRenderedPageBreak/>
        <w:t>融资情况</w:t>
      </w:r>
    </w:p>
    <w:p w14:paraId="2CE0F159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 Finance经历过两轮豪华机构团的融资：</w:t>
      </w:r>
    </w:p>
    <w:p w14:paraId="4C97AA37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2020 年 12 月，Lido Finance 完成了200 万美元的融资，投资人包括：Semantic Ventures、ParaFi Capital、Terra、KR1、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Stakefish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和 Staking Facilities 等公司，以及包括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MakerDAO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 Rune Christensen、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Aave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 Stani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Kulechov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和 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Synthetix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的 Kain Warwick 等个人。</w:t>
      </w:r>
    </w:p>
    <w:p w14:paraId="7169D35F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2021 年 4 月份，Lido DAO 通过了将财政部预留的 LDO 代币进行融资的提案。本轮总计出售了 1 亿个 LDO,总计募集了 21600 </w:t>
      </w:r>
      <w:proofErr w:type="gram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个</w:t>
      </w:r>
      <w:proofErr w:type="gram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 xml:space="preserve"> ETH，相当于 0.000216ETH/LDO。投资机构包括：Coinbase、三箭、Paradigm 以及个人投资者 AAVE，Maker，DCG、SNX 等项目创始人参与投资，累计募资 7,500 万美元。</w:t>
      </w:r>
    </w:p>
    <w:p w14:paraId="03DEEA16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值得要说的机构是Paradigm。2018年6月，Fred和黄共宇共同创立了Paradigm，致力于说服顶级机构投资者参与到加密领域。创立Paradigm时，Fred Ehrsam、Matt Huang（黄共宇）均为29岁，而后加入的合伙人Charles Noyes至今才21岁，仅仅3年时间，Paradigm成为了加密机构里的佼佼者。</w:t>
      </w:r>
    </w:p>
    <w:p w14:paraId="19C70A2A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其投资版图几乎都是明星项目:</w:t>
      </w:r>
    </w:p>
    <w:p w14:paraId="03DD9B45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从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StarkWare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、Mina、Uniswap、Compound、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MakerDAO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、Yield到Optimistic、Amber、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Fireblocks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Synthetix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Opyn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TaxBit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BlockFi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Chainalysis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Gitcoin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、Lido、</w:t>
      </w:r>
      <w:proofErr w:type="spellStart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dYdX</w:t>
      </w:r>
      <w:proofErr w:type="spellEnd"/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24"/>
          <w:szCs w:val="24"/>
        </w:rPr>
        <w:t>、FTX……</w:t>
      </w:r>
    </w:p>
    <w:p w14:paraId="679A4768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lastRenderedPageBreak/>
        <w:t>更有意思的是，在创立Paradigm的5年前，黄共宇从硅谷到北京游玩，结识了刚刚创办今日头条的张一鸣，黄共宇果断出手，成为了今日头条的天使投资人，这笔投资为他来了2500倍的收益。</w:t>
      </w:r>
    </w:p>
    <w:p w14:paraId="24B25A77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Lido拥有如此豪华机构的投资，以及各大Defi项目的加持，其业务线的拓展尤为可期。</w:t>
      </w:r>
    </w:p>
    <w:p w14:paraId="69456078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2592C23F" w14:textId="77777777" w:rsidR="00086B6F" w:rsidRPr="00086B6F" w:rsidRDefault="00086B6F" w:rsidP="00086B6F">
      <w:pPr>
        <w:widowControl/>
        <w:shd w:val="clear" w:color="auto" w:fill="FFFFFF"/>
        <w:wordWrap w:val="0"/>
        <w:spacing w:before="90" w:after="30" w:line="27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</w:pPr>
      <w:r w:rsidRPr="00086B6F">
        <w:rPr>
          <w:rFonts w:ascii="微软雅黑" w:eastAsia="微软雅黑" w:hAnsi="微软雅黑" w:cs="宋体" w:hint="eastAsia"/>
          <w:b/>
          <w:bCs/>
          <w:color w:val="06080F"/>
          <w:kern w:val="0"/>
          <w:sz w:val="36"/>
          <w:szCs w:val="36"/>
        </w:rPr>
        <w:t>总  结</w:t>
      </w:r>
    </w:p>
    <w:p w14:paraId="0A32BEE3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18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</w:p>
    <w:p w14:paraId="57D1AF54" w14:textId="75B81FC0" w:rsidR="00086B6F" w:rsidRPr="00086B6F" w:rsidRDefault="00086B6F" w:rsidP="00086B6F">
      <w:pPr>
        <w:widowControl/>
        <w:shd w:val="clear" w:color="auto" w:fill="FFFFFF"/>
        <w:wordWrap w:val="0"/>
        <w:spacing w:line="420" w:lineRule="atLeast"/>
        <w:jc w:val="lef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/>
          <w:noProof/>
          <w:color w:val="06080F"/>
          <w:kern w:val="0"/>
          <w:sz w:val="24"/>
          <w:szCs w:val="24"/>
        </w:rPr>
        <w:drawing>
          <wp:inline distT="0" distB="0" distL="0" distR="0" wp14:anchorId="40739133" wp14:editId="289EF8B6">
            <wp:extent cx="5274310" cy="2533650"/>
            <wp:effectExtent l="0" t="0" r="2540" b="0"/>
            <wp:docPr id="291599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01171" w14:textId="77777777" w:rsidR="00086B6F" w:rsidRPr="00086B6F" w:rsidRDefault="00086B6F" w:rsidP="00086B6F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Lido在去中心化Staking中具有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龙头优势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，目前已经获得了以太坊Staking市场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  <w:highlight w:val="yellow"/>
        </w:rPr>
        <w:t>10%</w:t>
      </w: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的份额，并在所有Defi协议中TVL排名第十一，接近超过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Sushiswap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。</w:t>
      </w:r>
    </w:p>
    <w:p w14:paraId="2DE6F3F3" w14:textId="5AC5D096" w:rsidR="00272D28" w:rsidRPr="00B02C82" w:rsidRDefault="00086B6F" w:rsidP="00B02C82">
      <w:pPr>
        <w:widowControl/>
        <w:shd w:val="clear" w:color="auto" w:fill="FFFFFF"/>
        <w:wordWrap w:val="0"/>
        <w:spacing w:before="100" w:beforeAutospacing="1" w:after="100" w:afterAutospacing="1" w:line="420" w:lineRule="atLeast"/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</w:pPr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相信随着以太坊2.0的进一步进展，越来越多的人会参与到ETH的去中心Staking中，</w:t>
      </w:r>
      <w:proofErr w:type="spellStart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stETH</w:t>
      </w:r>
      <w:proofErr w:type="spellEnd"/>
      <w:r w:rsidRPr="00086B6F">
        <w:rPr>
          <w:rFonts w:ascii="微软雅黑" w:eastAsia="微软雅黑" w:hAnsi="微软雅黑" w:cs="宋体" w:hint="eastAsia"/>
          <w:color w:val="06080F"/>
          <w:kern w:val="0"/>
          <w:sz w:val="24"/>
          <w:szCs w:val="24"/>
        </w:rPr>
        <w:t>庞大的网络效应，将使Lido成为这个赛道最受益的明星项目。</w:t>
      </w:r>
    </w:p>
    <w:sectPr w:rsidR="00272D28" w:rsidRPr="00B02C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科 林" w:date="2023-08-29T15:20:00Z" w:initials="科林">
    <w:p w14:paraId="6B75B0A2" w14:textId="77777777" w:rsidR="00CC4FBB" w:rsidRDefault="00CC4FBB">
      <w:pPr>
        <w:pStyle w:val="a7"/>
      </w:pPr>
      <w:r>
        <w:rPr>
          <w:rStyle w:val="a6"/>
        </w:rPr>
        <w:annotationRef/>
      </w:r>
      <w:r>
        <w:t>笔记：</w:t>
      </w:r>
    </w:p>
    <w:p w14:paraId="6B93609F" w14:textId="77777777" w:rsidR="00CC4FBB" w:rsidRDefault="00CC4FBB" w:rsidP="004A20F2">
      <w:pPr>
        <w:pStyle w:val="a7"/>
      </w:pPr>
      <w:r>
        <w:t>年回报率应该是动态变化的</w:t>
      </w:r>
    </w:p>
  </w:comment>
  <w:comment w:id="1" w:author="科 林" w:date="2023-08-29T15:33:00Z" w:initials="科林">
    <w:p w14:paraId="7E6B2F1A" w14:textId="77777777" w:rsidR="003F77A3" w:rsidRDefault="003F77A3" w:rsidP="00DC7CB5">
      <w:pPr>
        <w:pStyle w:val="a7"/>
      </w:pPr>
      <w:r>
        <w:rPr>
          <w:rStyle w:val="a6"/>
        </w:rPr>
        <w:annotationRef/>
      </w:r>
      <w:r>
        <w:t>质押代币特别重要，可以一直生息</w:t>
      </w:r>
    </w:p>
  </w:comment>
  <w:comment w:id="2" w:author="科 林" w:date="2023-08-29T15:37:00Z" w:initials="科林">
    <w:p w14:paraId="1EEE616E" w14:textId="77777777" w:rsidR="008567E2" w:rsidRDefault="008567E2" w:rsidP="00AB269D">
      <w:pPr>
        <w:pStyle w:val="a7"/>
      </w:pPr>
      <w:r>
        <w:rPr>
          <w:rStyle w:val="a6"/>
        </w:rPr>
        <w:annotationRef/>
      </w:r>
      <w:r>
        <w:t>以太坊社区扶持很重要</w:t>
      </w:r>
    </w:p>
  </w:comment>
  <w:comment w:id="3" w:author="科 林" w:date="2023-08-29T16:46:00Z" w:initials="科林">
    <w:p w14:paraId="26BA0B9B" w14:textId="77777777" w:rsidR="009F511E" w:rsidRDefault="009F511E" w:rsidP="00075931">
      <w:pPr>
        <w:pStyle w:val="a7"/>
      </w:pPr>
      <w:r>
        <w:rPr>
          <w:rStyle w:val="a6"/>
        </w:rPr>
        <w:annotationRef/>
      </w:r>
      <w:r>
        <w:t>对于质押者来说，手续费是10%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93609F" w15:done="0"/>
  <w15:commentEx w15:paraId="7E6B2F1A" w15:done="0"/>
  <w15:commentEx w15:paraId="1EEE616E" w15:done="0"/>
  <w15:commentEx w15:paraId="26BA0B9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8988B22" w16cex:dateUtc="2023-08-29T07:20:00Z"/>
  <w16cex:commentExtensible w16cex:durableId="28988E32" w16cex:dateUtc="2023-08-29T07:33:00Z"/>
  <w16cex:commentExtensible w16cex:durableId="28988F1C" w16cex:dateUtc="2023-08-29T07:37:00Z"/>
  <w16cex:commentExtensible w16cex:durableId="28989F6A" w16cex:dateUtc="2023-08-29T08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93609F" w16cid:durableId="28988B22"/>
  <w16cid:commentId w16cid:paraId="7E6B2F1A" w16cid:durableId="28988E32"/>
  <w16cid:commentId w16cid:paraId="1EEE616E" w16cid:durableId="28988F1C"/>
  <w16cid:commentId w16cid:paraId="26BA0B9B" w16cid:durableId="28989F6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A66B98"/>
    <w:multiLevelType w:val="multilevel"/>
    <w:tmpl w:val="FED24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5DEF685A"/>
    <w:multiLevelType w:val="multilevel"/>
    <w:tmpl w:val="07C2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76590615">
    <w:abstractNumId w:val="1"/>
  </w:num>
  <w:num w:numId="2" w16cid:durableId="14584471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科 林">
    <w15:presenceInfo w15:providerId="Windows Live" w15:userId="3dc8772572cb2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2491"/>
    <w:rsid w:val="0002422E"/>
    <w:rsid w:val="00086B6F"/>
    <w:rsid w:val="000A34EA"/>
    <w:rsid w:val="00250F12"/>
    <w:rsid w:val="00272D28"/>
    <w:rsid w:val="00292491"/>
    <w:rsid w:val="00321035"/>
    <w:rsid w:val="003B7287"/>
    <w:rsid w:val="003F77A3"/>
    <w:rsid w:val="00560D13"/>
    <w:rsid w:val="0083098E"/>
    <w:rsid w:val="008567E2"/>
    <w:rsid w:val="009C6E69"/>
    <w:rsid w:val="009C73F7"/>
    <w:rsid w:val="009F511E"/>
    <w:rsid w:val="00B02C82"/>
    <w:rsid w:val="00BA593E"/>
    <w:rsid w:val="00CC4FBB"/>
    <w:rsid w:val="00D4279C"/>
    <w:rsid w:val="00D5755C"/>
    <w:rsid w:val="00E86D5B"/>
    <w:rsid w:val="00F12AED"/>
    <w:rsid w:val="00F54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7A25"/>
  <w15:chartTrackingRefBased/>
  <w15:docId w15:val="{861BBB2B-D089-4618-8C5F-4E7E6928E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86B6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086B6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086B6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86B6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086B6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086B6F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086B6F"/>
    <w:rPr>
      <w:color w:val="0000FF"/>
      <w:u w:val="single"/>
    </w:rPr>
  </w:style>
  <w:style w:type="character" w:customStyle="1" w:styleId="author-name">
    <w:name w:val="author-name"/>
    <w:basedOn w:val="a0"/>
    <w:rsid w:val="00086B6F"/>
  </w:style>
  <w:style w:type="paragraph" w:styleId="a4">
    <w:name w:val="Normal (Web)"/>
    <w:basedOn w:val="a"/>
    <w:uiPriority w:val="99"/>
    <w:semiHidden/>
    <w:unhideWhenUsed/>
    <w:rsid w:val="00086B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086B6F"/>
    <w:rPr>
      <w:b/>
      <w:bCs/>
    </w:rPr>
  </w:style>
  <w:style w:type="paragraph" w:customStyle="1" w:styleId="ne-empty-p">
    <w:name w:val="ne-empty-p"/>
    <w:basedOn w:val="a"/>
    <w:rsid w:val="00086B6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C4FBB"/>
    <w:rPr>
      <w:sz w:val="21"/>
      <w:szCs w:val="21"/>
    </w:rPr>
  </w:style>
  <w:style w:type="paragraph" w:styleId="a7">
    <w:name w:val="annotation text"/>
    <w:basedOn w:val="a"/>
    <w:link w:val="a8"/>
    <w:uiPriority w:val="99"/>
    <w:unhideWhenUsed/>
    <w:rsid w:val="00CC4FBB"/>
    <w:pPr>
      <w:jc w:val="left"/>
    </w:pPr>
  </w:style>
  <w:style w:type="character" w:customStyle="1" w:styleId="a8">
    <w:name w:val="批注文字 字符"/>
    <w:basedOn w:val="a0"/>
    <w:link w:val="a7"/>
    <w:uiPriority w:val="99"/>
    <w:rsid w:val="00CC4FBB"/>
  </w:style>
  <w:style w:type="paragraph" w:styleId="a9">
    <w:name w:val="annotation subject"/>
    <w:basedOn w:val="a7"/>
    <w:next w:val="a7"/>
    <w:link w:val="aa"/>
    <w:uiPriority w:val="99"/>
    <w:semiHidden/>
    <w:unhideWhenUsed/>
    <w:rsid w:val="00CC4FBB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CC4FB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57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49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293863">
          <w:marLeft w:val="0"/>
          <w:marRight w:val="0"/>
          <w:marTop w:val="60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278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15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058715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363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405153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809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781330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1521813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68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257975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56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079808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50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303133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88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408394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25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728696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27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176901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5065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376809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5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485483">
                              <w:marLeft w:val="0"/>
                              <w:marRight w:val="0"/>
                              <w:marTop w:val="12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0280273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0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javascript:;" TargetMode="External"/><Relationship Id="rId12" Type="http://schemas.microsoft.com/office/2016/09/relationships/commentsIds" Target="commentsIds.xml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24" Type="http://schemas.microsoft.com/office/2011/relationships/people" Target="people.xml"/><Relationship Id="rId5" Type="http://schemas.openxmlformats.org/officeDocument/2006/relationships/hyperlink" Target="https://www.defidaonews.com/writer/1056801" TargetMode="Externa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16</Pages>
  <Words>779</Words>
  <Characters>4443</Characters>
  <Application>Microsoft Office Word</Application>
  <DocSecurity>0</DocSecurity>
  <Lines>37</Lines>
  <Paragraphs>10</Paragraphs>
  <ScaleCrop>false</ScaleCrop>
  <Company/>
  <LinksUpToDate>false</LinksUpToDate>
  <CharactersWithSpaces>5212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科 林</dc:creator>
  <cp:keywords/>
  <dc:description/>
  <cp:lastModifiedBy>科 林</cp:lastModifiedBy>
  <cp:revision>41</cp:revision>
  <dcterms:created xsi:type="dcterms:W3CDTF">2023-08-29T06:52:00Z</dcterms:created>
  <dcterms:modified xsi:type="dcterms:W3CDTF">2023-08-29T09:01:00Z</dcterms:modified>
</cp:coreProperties>
</file>