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38BC" w14:textId="77777777" w:rsidR="00583010" w:rsidRPr="00583010" w:rsidRDefault="00583010" w:rsidP="00583010">
      <w:pPr>
        <w:widowControl/>
        <w:spacing w:line="660" w:lineRule="atLeast"/>
        <w:jc w:val="center"/>
        <w:outlineLvl w:val="0"/>
        <w:rPr>
          <w:rFonts w:ascii="IBM Plex Sans" w:eastAsia="宋体" w:hAnsi="IBM Plex Sans" w:cs="Arial"/>
          <w:b/>
          <w:bCs/>
          <w:kern w:val="36"/>
          <w:sz w:val="48"/>
          <w:szCs w:val="48"/>
        </w:rPr>
      </w:pPr>
      <w:r w:rsidRPr="00583010">
        <w:rPr>
          <w:rFonts w:ascii="IBM Plex Sans" w:eastAsia="宋体" w:hAnsi="IBM Plex Sans" w:cs="Arial"/>
          <w:b/>
          <w:bCs/>
          <w:kern w:val="36"/>
          <w:sz w:val="48"/>
          <w:szCs w:val="48"/>
        </w:rPr>
        <w:t xml:space="preserve">Paradigm Insights | DOV Auctions </w:t>
      </w:r>
      <w:proofErr w:type="gramStart"/>
      <w:r w:rsidRPr="00583010">
        <w:rPr>
          <w:rFonts w:ascii="IBM Plex Sans" w:eastAsia="宋体" w:hAnsi="IBM Plex Sans" w:cs="Arial"/>
          <w:b/>
          <w:bCs/>
          <w:kern w:val="36"/>
          <w:sz w:val="48"/>
          <w:szCs w:val="48"/>
        </w:rPr>
        <w:t>And</w:t>
      </w:r>
      <w:proofErr w:type="gramEnd"/>
      <w:r w:rsidRPr="00583010">
        <w:rPr>
          <w:rFonts w:ascii="IBM Plex Sans" w:eastAsia="宋体" w:hAnsi="IBM Plex Sans" w:cs="Arial"/>
          <w:b/>
          <w:bCs/>
          <w:kern w:val="36"/>
          <w:sz w:val="48"/>
          <w:szCs w:val="48"/>
        </w:rPr>
        <w:t xml:space="preserve"> The Friday Problem</w:t>
      </w:r>
    </w:p>
    <w:p w14:paraId="56FB561E" w14:textId="325A3957" w:rsidR="00583010" w:rsidRPr="00583010" w:rsidRDefault="00583010" w:rsidP="00583010">
      <w:pPr>
        <w:widowControl/>
        <w:jc w:val="left"/>
        <w:rPr>
          <w:rFonts w:ascii="Arial" w:eastAsia="宋体" w:hAnsi="Arial" w:cs="Arial"/>
          <w:kern w:val="0"/>
          <w:szCs w:val="21"/>
        </w:rPr>
      </w:pPr>
      <w:r w:rsidRPr="00583010">
        <w:rPr>
          <w:rFonts w:ascii="Arial" w:eastAsia="宋体" w:hAnsi="Arial" w:cs="Arial"/>
          <w:noProof/>
          <w:kern w:val="0"/>
          <w:szCs w:val="21"/>
        </w:rPr>
        <w:drawing>
          <wp:inline distT="0" distB="0" distL="0" distR="0" wp14:anchorId="0C9D2618" wp14:editId="6C0FB9DD">
            <wp:extent cx="952500" cy="152400"/>
            <wp:effectExtent l="0" t="0" r="0" b="0"/>
            <wp:docPr id="15521371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152400"/>
                    </a:xfrm>
                    <a:prstGeom prst="rect">
                      <a:avLst/>
                    </a:prstGeom>
                    <a:noFill/>
                    <a:ln>
                      <a:noFill/>
                    </a:ln>
                  </pic:spPr>
                </pic:pic>
              </a:graphicData>
            </a:graphic>
          </wp:inline>
        </w:drawing>
      </w:r>
    </w:p>
    <w:p w14:paraId="0323A43B" w14:textId="77777777" w:rsidR="00583010" w:rsidRPr="00583010" w:rsidRDefault="00000000" w:rsidP="00583010">
      <w:pPr>
        <w:widowControl/>
        <w:jc w:val="left"/>
        <w:rPr>
          <w:rFonts w:ascii="Roboto" w:eastAsia="宋体" w:hAnsi="Roboto" w:cs="Arial"/>
          <w:kern w:val="0"/>
          <w:szCs w:val="21"/>
        </w:rPr>
      </w:pPr>
      <w:hyperlink r:id="rId7" w:history="1">
        <w:r w:rsidR="00583010" w:rsidRPr="00583010">
          <w:rPr>
            <w:rFonts w:ascii="IBM Plex Sans" w:eastAsia="宋体" w:hAnsi="IBM Plex Sans" w:cs="Arial"/>
            <w:kern w:val="0"/>
            <w:sz w:val="18"/>
            <w:szCs w:val="18"/>
            <w:u w:val="single"/>
          </w:rPr>
          <w:t>Back to Blogs</w:t>
        </w:r>
      </w:hyperlink>
    </w:p>
    <w:p w14:paraId="09600B0F" w14:textId="77777777" w:rsidR="00583010" w:rsidRPr="00583010" w:rsidRDefault="00583010" w:rsidP="00583010">
      <w:pPr>
        <w:widowControl/>
        <w:spacing w:line="360" w:lineRule="atLeast"/>
        <w:jc w:val="left"/>
        <w:rPr>
          <w:rFonts w:ascii="IBM Plex Sans" w:eastAsia="宋体" w:hAnsi="IBM Plex Sans" w:cs="Arial"/>
          <w:kern w:val="0"/>
          <w:sz w:val="18"/>
          <w:szCs w:val="18"/>
        </w:rPr>
      </w:pPr>
      <w:r w:rsidRPr="00583010">
        <w:rPr>
          <w:rFonts w:ascii="IBM Plex Sans" w:eastAsia="宋体" w:hAnsi="IBM Plex Sans" w:cs="Arial"/>
          <w:kern w:val="0"/>
          <w:sz w:val="18"/>
          <w:szCs w:val="18"/>
        </w:rPr>
        <w:t>Published On</w:t>
      </w:r>
    </w:p>
    <w:p w14:paraId="4494E497" w14:textId="77777777" w:rsidR="00583010" w:rsidRPr="00583010" w:rsidRDefault="00583010" w:rsidP="00583010">
      <w:pPr>
        <w:widowControl/>
        <w:spacing w:after="150" w:line="360" w:lineRule="atLeast"/>
        <w:jc w:val="left"/>
        <w:rPr>
          <w:rFonts w:ascii="IBM Plex Sans" w:eastAsia="宋体" w:hAnsi="IBM Plex Sans" w:cs="Arial"/>
          <w:kern w:val="0"/>
          <w:szCs w:val="21"/>
        </w:rPr>
      </w:pPr>
      <w:r w:rsidRPr="00583010">
        <w:rPr>
          <w:rFonts w:ascii="IBM Plex Sans" w:eastAsia="宋体" w:hAnsi="IBM Plex Sans" w:cs="Arial"/>
          <w:kern w:val="0"/>
          <w:szCs w:val="21"/>
        </w:rPr>
        <w:t>September 22, 2022</w:t>
      </w:r>
    </w:p>
    <w:p w14:paraId="1F1250C9"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Since </w:t>
      </w:r>
      <w:r w:rsidRPr="00583010">
        <w:rPr>
          <w:rFonts w:ascii="IBM Plex Sans" w:eastAsia="宋体" w:hAnsi="IBM Plex Sans" w:cs="Arial"/>
          <w:kern w:val="0"/>
          <w:sz w:val="24"/>
          <w:szCs w:val="24"/>
          <w:highlight w:val="yellow"/>
        </w:rPr>
        <w:t>Ribbon Finance</w:t>
      </w:r>
      <w:r w:rsidRPr="00583010">
        <w:rPr>
          <w:rFonts w:ascii="IBM Plex Sans" w:eastAsia="宋体" w:hAnsi="IBM Plex Sans" w:cs="Arial"/>
          <w:kern w:val="0"/>
          <w:sz w:val="24"/>
          <w:szCs w:val="24"/>
        </w:rPr>
        <w:t xml:space="preserve"> pioneered the </w:t>
      </w:r>
      <w:r w:rsidRPr="00583010">
        <w:rPr>
          <w:rFonts w:ascii="IBM Plex Sans" w:eastAsia="宋体" w:hAnsi="IBM Plex Sans" w:cs="Arial"/>
          <w:kern w:val="0"/>
          <w:sz w:val="24"/>
          <w:szCs w:val="24"/>
          <w:highlight w:val="yellow"/>
        </w:rPr>
        <w:t>first</w:t>
      </w:r>
      <w:r w:rsidRPr="00583010">
        <w:rPr>
          <w:rFonts w:ascii="IBM Plex Sans" w:eastAsia="宋体" w:hAnsi="IBM Plex Sans" w:cs="Arial"/>
          <w:kern w:val="0"/>
          <w:sz w:val="24"/>
          <w:szCs w:val="24"/>
        </w:rPr>
        <w:t xml:space="preserve"> DeFi Options Vault (DOV) and turned it into a </w:t>
      </w:r>
      <w:r w:rsidRPr="00583010">
        <w:rPr>
          <w:rFonts w:ascii="IBM Plex Sans" w:eastAsia="宋体" w:hAnsi="IBM Plex Sans" w:cs="Arial"/>
          <w:kern w:val="0"/>
          <w:sz w:val="24"/>
          <w:szCs w:val="24"/>
          <w:highlight w:val="yellow"/>
        </w:rPr>
        <w:t>huge success</w:t>
      </w:r>
      <w:r w:rsidRPr="00583010">
        <w:rPr>
          <w:rFonts w:ascii="IBM Plex Sans" w:eastAsia="宋体" w:hAnsi="IBM Plex Sans" w:cs="Arial"/>
          <w:kern w:val="0"/>
          <w:sz w:val="24"/>
          <w:szCs w:val="24"/>
        </w:rPr>
        <w:t xml:space="preserve">, DeFi ecosystems have witnessed a phenomenal surge in DOV projects. There are currently over </w:t>
      </w:r>
      <w:r w:rsidRPr="00583010">
        <w:rPr>
          <w:rFonts w:ascii="IBM Plex Sans" w:eastAsia="宋体" w:hAnsi="IBM Plex Sans" w:cs="Arial"/>
          <w:kern w:val="0"/>
          <w:sz w:val="24"/>
          <w:szCs w:val="24"/>
          <w:highlight w:val="yellow"/>
        </w:rPr>
        <w:t>40</w:t>
      </w:r>
      <w:r w:rsidRPr="00583010">
        <w:rPr>
          <w:rFonts w:ascii="IBM Plex Sans" w:eastAsia="宋体" w:hAnsi="IBM Plex Sans" w:cs="Arial"/>
          <w:kern w:val="0"/>
          <w:sz w:val="24"/>
          <w:szCs w:val="24"/>
        </w:rPr>
        <w:t xml:space="preserve"> DOVs across different blockchains and despite a cooling market, new DOVs continue being launched.</w:t>
      </w:r>
    </w:p>
    <w:p w14:paraId="1CB1F4B5"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An overwhelming majority of these vaults revolve around selling vanilla call and put options in exchange for premiums. </w:t>
      </w:r>
      <w:commentRangeStart w:id="0"/>
      <w:r w:rsidRPr="00583010">
        <w:rPr>
          <w:rFonts w:ascii="IBM Plex Sans" w:eastAsia="宋体" w:hAnsi="IBM Plex Sans" w:cs="Arial"/>
          <w:kern w:val="0"/>
          <w:sz w:val="24"/>
          <w:szCs w:val="24"/>
        </w:rPr>
        <w:t>Professional market makers, on the other side, outbid each other to buy these options through an auction process that runs on fixed schedules every week, typically on Fridays.</w:t>
      </w:r>
      <w:commentRangeEnd w:id="0"/>
      <w:r w:rsidR="00216D84">
        <w:rPr>
          <w:rStyle w:val="aa"/>
        </w:rPr>
        <w:commentReference w:id="0"/>
      </w:r>
    </w:p>
    <w:p w14:paraId="72057461"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Here is a hidden problem: </w:t>
      </w:r>
      <w:commentRangeStart w:id="1"/>
      <w:r w:rsidRPr="00583010">
        <w:rPr>
          <w:rFonts w:ascii="IBM Plex Sans" w:eastAsia="宋体" w:hAnsi="IBM Plex Sans" w:cs="Arial"/>
          <w:kern w:val="0"/>
          <w:sz w:val="24"/>
          <w:szCs w:val="24"/>
        </w:rPr>
        <w:t xml:space="preserve">every DOV wants to run the auctions around the same time on the same weekday (Friday). Historically, this was because options with Friday expiries are the most liquid contracts on </w:t>
      </w:r>
      <w:proofErr w:type="spellStart"/>
      <w:r w:rsidRPr="00583010">
        <w:rPr>
          <w:rFonts w:ascii="IBM Plex Sans" w:eastAsia="宋体" w:hAnsi="IBM Plex Sans" w:cs="Arial"/>
          <w:kern w:val="0"/>
          <w:sz w:val="24"/>
          <w:szCs w:val="24"/>
        </w:rPr>
        <w:t>Deribit</w:t>
      </w:r>
      <w:proofErr w:type="spellEnd"/>
      <w:r w:rsidRPr="00583010">
        <w:rPr>
          <w:rFonts w:ascii="IBM Plex Sans" w:eastAsia="宋体" w:hAnsi="IBM Plex Sans" w:cs="Arial"/>
          <w:kern w:val="0"/>
          <w:sz w:val="24"/>
          <w:szCs w:val="24"/>
        </w:rPr>
        <w:t xml:space="preserve"> (the primary </w:t>
      </w:r>
      <w:proofErr w:type="spellStart"/>
      <w:r w:rsidRPr="00583010">
        <w:rPr>
          <w:rFonts w:ascii="IBM Plex Sans" w:eastAsia="宋体" w:hAnsi="IBM Plex Sans" w:cs="Arial"/>
          <w:kern w:val="0"/>
          <w:sz w:val="24"/>
          <w:szCs w:val="24"/>
        </w:rPr>
        <w:t>CeFi</w:t>
      </w:r>
      <w:proofErr w:type="spellEnd"/>
      <w:r w:rsidRPr="00583010">
        <w:rPr>
          <w:rFonts w:ascii="IBM Plex Sans" w:eastAsia="宋体" w:hAnsi="IBM Plex Sans" w:cs="Arial"/>
          <w:kern w:val="0"/>
          <w:sz w:val="24"/>
          <w:szCs w:val="24"/>
        </w:rPr>
        <w:t xml:space="preserve"> options trading venue), making it easier for market makers to hedge the DOV flows. However, with more sophisticated market makers entering the space, options with expiries other than Fridays are increasingly liquid. </w:t>
      </w:r>
      <w:commentRangeEnd w:id="1"/>
      <w:r w:rsidR="00216D84">
        <w:rPr>
          <w:rStyle w:val="aa"/>
        </w:rPr>
        <w:commentReference w:id="1"/>
      </w:r>
    </w:p>
    <w:p w14:paraId="564EA905"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MS Gothic" w:eastAsia="MS Gothic" w:hAnsi="MS Gothic" w:cs="MS Gothic"/>
          <w:kern w:val="0"/>
          <w:sz w:val="24"/>
          <w:szCs w:val="24"/>
        </w:rPr>
        <w:lastRenderedPageBreak/>
        <w:t>‍</w:t>
      </w:r>
    </w:p>
    <w:p w14:paraId="22B7015B" w14:textId="3807ED57" w:rsidR="00583010" w:rsidRPr="00583010" w:rsidRDefault="00583010" w:rsidP="00583010">
      <w:pPr>
        <w:widowControl/>
        <w:jc w:val="left"/>
        <w:rPr>
          <w:rFonts w:ascii="IBM Plex Sans" w:eastAsia="宋体" w:hAnsi="IBM Plex Sans" w:cs="Arial"/>
          <w:kern w:val="0"/>
          <w:sz w:val="2"/>
          <w:szCs w:val="2"/>
        </w:rPr>
      </w:pPr>
      <w:r w:rsidRPr="00583010">
        <w:rPr>
          <w:rFonts w:ascii="IBM Plex Sans" w:eastAsia="宋体" w:hAnsi="IBM Plex Sans" w:cs="Arial"/>
          <w:noProof/>
          <w:kern w:val="0"/>
          <w:sz w:val="2"/>
          <w:szCs w:val="2"/>
        </w:rPr>
        <mc:AlternateContent>
          <mc:Choice Requires="wps">
            <w:drawing>
              <wp:inline distT="0" distB="0" distL="0" distR="0" wp14:anchorId="03CB23DD" wp14:editId="64980BC2">
                <wp:extent cx="304800" cy="304800"/>
                <wp:effectExtent l="0" t="0" r="0" b="0"/>
                <wp:docPr id="689068730"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1814B"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BBC00C"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With all the DOVs trying to sell options on Fridays, it comes as no surprise that the market goes under </w:t>
      </w:r>
      <w:r w:rsidRPr="005B0FA7">
        <w:rPr>
          <w:rFonts w:ascii="IBM Plex Sans" w:eastAsia="宋体" w:hAnsi="IBM Plex Sans" w:cs="Arial"/>
          <w:kern w:val="0"/>
          <w:sz w:val="24"/>
          <w:szCs w:val="24"/>
          <w:highlight w:val="yellow"/>
        </w:rPr>
        <w:t>intense selling pressures</w:t>
      </w:r>
      <w:r w:rsidRPr="00583010">
        <w:rPr>
          <w:rFonts w:ascii="IBM Plex Sans" w:eastAsia="宋体" w:hAnsi="IBM Plex Sans" w:cs="Arial"/>
          <w:kern w:val="0"/>
          <w:sz w:val="24"/>
          <w:szCs w:val="24"/>
        </w:rPr>
        <w:t xml:space="preserve">. As traders have learnt to anticipate these </w:t>
      </w:r>
      <w:r w:rsidRPr="005B0FA7">
        <w:rPr>
          <w:rFonts w:ascii="IBM Plex Sans" w:eastAsia="宋体" w:hAnsi="IBM Plex Sans" w:cs="Arial"/>
          <w:kern w:val="0"/>
          <w:sz w:val="24"/>
          <w:szCs w:val="24"/>
          <w:highlight w:val="yellow"/>
        </w:rPr>
        <w:t>selling flows</w:t>
      </w:r>
      <w:r w:rsidRPr="00583010">
        <w:rPr>
          <w:rFonts w:ascii="IBM Plex Sans" w:eastAsia="宋体" w:hAnsi="IBM Plex Sans" w:cs="Arial"/>
          <w:kern w:val="0"/>
          <w:sz w:val="24"/>
          <w:szCs w:val="24"/>
        </w:rPr>
        <w:t xml:space="preserve">, implied volatility consistently sells off before the auctions. In the end, the </w:t>
      </w:r>
      <w:r w:rsidRPr="005B0FA7">
        <w:rPr>
          <w:rFonts w:ascii="IBM Plex Sans" w:eastAsia="宋体" w:hAnsi="IBM Plex Sans" w:cs="Arial"/>
          <w:kern w:val="0"/>
          <w:sz w:val="24"/>
          <w:szCs w:val="24"/>
          <w:highlight w:val="yellow"/>
        </w:rPr>
        <w:t>DOVs sell options at the worst levels</w:t>
      </w:r>
      <w:r w:rsidRPr="00583010">
        <w:rPr>
          <w:rFonts w:ascii="IBM Plex Sans" w:eastAsia="宋体" w:hAnsi="IBM Plex Sans" w:cs="Arial"/>
          <w:kern w:val="0"/>
          <w:sz w:val="24"/>
          <w:szCs w:val="24"/>
        </w:rPr>
        <w:t xml:space="preserve"> and </w:t>
      </w:r>
      <w:r w:rsidRPr="005B0FA7">
        <w:rPr>
          <w:rFonts w:ascii="IBM Plex Sans" w:eastAsia="宋体" w:hAnsi="IBM Plex Sans" w:cs="Arial"/>
          <w:kern w:val="0"/>
          <w:sz w:val="24"/>
          <w:szCs w:val="24"/>
          <w:highlight w:val="yellow"/>
        </w:rPr>
        <w:t>DOV investors are the ones getting hurt</w:t>
      </w:r>
      <w:r w:rsidRPr="00583010">
        <w:rPr>
          <w:rFonts w:ascii="IBM Plex Sans" w:eastAsia="宋体" w:hAnsi="IBM Plex Sans" w:cs="Arial"/>
          <w:kern w:val="0"/>
          <w:sz w:val="24"/>
          <w:szCs w:val="24"/>
        </w:rPr>
        <w:t>.</w:t>
      </w:r>
    </w:p>
    <w:p w14:paraId="7AC36AD7"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To demonstrate the impact, we have looked at hourly data of 1-week ETH-USD ATM implied volatility (IV) over the past year. Every hour, we compare the IV against its average over the prior 24 hours and we plot the differences. </w:t>
      </w:r>
    </w:p>
    <w:p w14:paraId="35E6BC2F"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A striking pattern has emerged. </w:t>
      </w:r>
      <w:r w:rsidRPr="005B0FA7">
        <w:rPr>
          <w:rFonts w:ascii="IBM Plex Sans" w:eastAsia="宋体" w:hAnsi="IBM Plex Sans" w:cs="Arial"/>
          <w:kern w:val="0"/>
          <w:sz w:val="24"/>
          <w:szCs w:val="24"/>
          <w:highlight w:val="yellow"/>
        </w:rPr>
        <w:t>On average, the implied volatility around the auctions time on Fridays is 4 vols below the prior 24 hours. Friday is the lowest point in the week, the worst time to sell options.</w:t>
      </w:r>
    </w:p>
    <w:p w14:paraId="6FCE1723"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b/>
          <w:bCs/>
          <w:kern w:val="0"/>
          <w:sz w:val="24"/>
          <w:szCs w:val="24"/>
        </w:rPr>
        <w:t>When is the best time to sell options in a week?</w:t>
      </w:r>
    </w:p>
    <w:p w14:paraId="505A7F2B"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MS Gothic" w:eastAsia="MS Gothic" w:hAnsi="MS Gothic" w:cs="MS Gothic"/>
          <w:kern w:val="0"/>
          <w:sz w:val="24"/>
          <w:szCs w:val="24"/>
        </w:rPr>
        <w:t>‍</w:t>
      </w:r>
    </w:p>
    <w:p w14:paraId="3ACD6C5D" w14:textId="22732D9B" w:rsidR="00583010" w:rsidRPr="00583010" w:rsidRDefault="00583010" w:rsidP="00583010">
      <w:pPr>
        <w:widowControl/>
        <w:jc w:val="left"/>
        <w:rPr>
          <w:rFonts w:ascii="IBM Plex Sans" w:eastAsia="宋体" w:hAnsi="IBM Plex Sans" w:cs="Arial"/>
          <w:kern w:val="0"/>
          <w:sz w:val="2"/>
          <w:szCs w:val="2"/>
        </w:rPr>
      </w:pPr>
      <w:r w:rsidRPr="00583010">
        <w:rPr>
          <w:rFonts w:ascii="IBM Plex Sans" w:eastAsia="宋体" w:hAnsi="IBM Plex Sans" w:cs="Arial"/>
          <w:noProof/>
          <w:kern w:val="0"/>
          <w:sz w:val="2"/>
          <w:szCs w:val="2"/>
        </w:rPr>
        <mc:AlternateContent>
          <mc:Choice Requires="wps">
            <w:drawing>
              <wp:inline distT="0" distB="0" distL="0" distR="0" wp14:anchorId="232B9128" wp14:editId="422BB95E">
                <wp:extent cx="304800" cy="304800"/>
                <wp:effectExtent l="0" t="0" r="0" b="0"/>
                <wp:docPr id="51928337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78B97"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C2FA28" w14:textId="77777777" w:rsidR="00583010" w:rsidRPr="00583010" w:rsidRDefault="00583010" w:rsidP="00583010">
      <w:pPr>
        <w:widowControl/>
        <w:jc w:val="left"/>
        <w:rPr>
          <w:rFonts w:ascii="IBM Plex Sans" w:eastAsia="宋体" w:hAnsi="IBM Plex Sans" w:cs="Arial"/>
          <w:kern w:val="0"/>
          <w:szCs w:val="21"/>
        </w:rPr>
      </w:pPr>
      <w:r w:rsidRPr="00583010">
        <w:rPr>
          <w:rFonts w:ascii="IBM Plex Sans" w:eastAsia="宋体" w:hAnsi="IBM Plex Sans" w:cs="Arial"/>
          <w:kern w:val="0"/>
          <w:szCs w:val="21"/>
        </w:rPr>
        <w:t>Source: </w:t>
      </w:r>
      <w:proofErr w:type="spellStart"/>
      <w:r w:rsidRPr="00583010">
        <w:rPr>
          <w:rFonts w:ascii="IBM Plex Sans" w:eastAsia="宋体" w:hAnsi="IBM Plex Sans" w:cs="Arial"/>
          <w:kern w:val="0"/>
          <w:szCs w:val="21"/>
        </w:rPr>
        <w:t>OrBit</w:t>
      </w:r>
      <w:proofErr w:type="spellEnd"/>
      <w:r w:rsidRPr="00583010">
        <w:rPr>
          <w:rFonts w:ascii="IBM Plex Sans" w:eastAsia="宋体" w:hAnsi="IBM Plex Sans" w:cs="Arial"/>
          <w:kern w:val="0"/>
          <w:szCs w:val="21"/>
        </w:rPr>
        <w:t xml:space="preserve"> Markets</w:t>
      </w:r>
    </w:p>
    <w:p w14:paraId="5403D095"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How does that translate to premiums? </w:t>
      </w:r>
      <w:r w:rsidRPr="00747A68">
        <w:rPr>
          <w:rFonts w:ascii="IBM Plex Sans" w:eastAsia="宋体" w:hAnsi="IBM Plex Sans" w:cs="Arial"/>
          <w:kern w:val="0"/>
          <w:sz w:val="24"/>
          <w:szCs w:val="24"/>
          <w:highlight w:val="yellow"/>
        </w:rPr>
        <w:t>For 1-week 10 delta call options, 4 vols lower approximately equate to 0.10% less in premiums</w:t>
      </w:r>
      <w:r w:rsidRPr="00583010">
        <w:rPr>
          <w:rFonts w:ascii="IBM Plex Sans" w:eastAsia="宋体" w:hAnsi="IBM Plex Sans" w:cs="Arial"/>
          <w:kern w:val="0"/>
          <w:sz w:val="24"/>
          <w:szCs w:val="24"/>
        </w:rPr>
        <w:t xml:space="preserve">, or if annualized, </w:t>
      </w:r>
      <w:r w:rsidRPr="00583010">
        <w:rPr>
          <w:rFonts w:ascii="IBM Plex Sans" w:eastAsia="宋体" w:hAnsi="IBM Plex Sans" w:cs="Arial"/>
          <w:kern w:val="0"/>
          <w:sz w:val="24"/>
          <w:szCs w:val="24"/>
        </w:rPr>
        <w:lastRenderedPageBreak/>
        <w:t>5.35% missed gains in APY. This means that DOV investors could have earned an extra 5.35% yield over the past year if the auctions had not been concentrated on Fridays.</w:t>
      </w:r>
    </w:p>
    <w:p w14:paraId="3165CE4E"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Based on the above findings, we recommend DOVs to </w:t>
      </w:r>
      <w:r w:rsidRPr="00747A68">
        <w:rPr>
          <w:rFonts w:ascii="IBM Plex Sans" w:eastAsia="宋体" w:hAnsi="IBM Plex Sans" w:cs="Arial"/>
          <w:kern w:val="0"/>
          <w:sz w:val="24"/>
          <w:szCs w:val="24"/>
          <w:highlight w:val="yellow"/>
        </w:rPr>
        <w:t>adopt different auction times</w:t>
      </w:r>
      <w:r w:rsidRPr="00583010">
        <w:rPr>
          <w:rFonts w:ascii="IBM Plex Sans" w:eastAsia="宋体" w:hAnsi="IBM Plex Sans" w:cs="Arial"/>
          <w:kern w:val="0"/>
          <w:sz w:val="24"/>
          <w:szCs w:val="24"/>
        </w:rPr>
        <w:t xml:space="preserve"> instead of all at the same time. For example, Mondays seem like a better time to sell options based on the chart above. </w:t>
      </w:r>
      <w:r w:rsidRPr="00747A68">
        <w:rPr>
          <w:rFonts w:ascii="IBM Plex Sans" w:eastAsia="宋体" w:hAnsi="IBM Plex Sans" w:cs="Arial"/>
          <w:kern w:val="0"/>
          <w:sz w:val="24"/>
          <w:szCs w:val="24"/>
          <w:highlight w:val="yellow"/>
        </w:rPr>
        <w:t>Scattering the auctions will help smooth out the market impact and improve returns for DOV investors.</w:t>
      </w:r>
      <w:r w:rsidRPr="00583010">
        <w:rPr>
          <w:rFonts w:ascii="IBM Plex Sans" w:eastAsia="宋体" w:hAnsi="IBM Plex Sans" w:cs="Arial"/>
          <w:kern w:val="0"/>
          <w:sz w:val="24"/>
          <w:szCs w:val="24"/>
        </w:rPr>
        <w:t> </w:t>
      </w:r>
    </w:p>
    <w:p w14:paraId="29A84893"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commentRangeStart w:id="2"/>
      <w:r w:rsidRPr="00583010">
        <w:rPr>
          <w:rFonts w:ascii="IBM Plex Sans" w:eastAsia="宋体" w:hAnsi="IBM Plex Sans" w:cs="Arial"/>
          <w:kern w:val="0"/>
          <w:sz w:val="24"/>
          <w:szCs w:val="24"/>
        </w:rPr>
        <w:t xml:space="preserve">While gathering a sufficient number of market-makers and organizing an auction may have been an operational challenge in the past, the process has been made easy by Paradigm. With </w:t>
      </w:r>
      <w:proofErr w:type="gramStart"/>
      <w:r w:rsidRPr="00583010">
        <w:rPr>
          <w:rFonts w:ascii="IBM Plex Sans" w:eastAsia="宋体" w:hAnsi="IBM Plex Sans" w:cs="Arial"/>
          <w:kern w:val="0"/>
          <w:sz w:val="24"/>
          <w:szCs w:val="24"/>
        </w:rPr>
        <w:t>an</w:t>
      </w:r>
      <w:proofErr w:type="gramEnd"/>
      <w:r w:rsidRPr="00583010">
        <w:rPr>
          <w:rFonts w:ascii="IBM Plex Sans" w:eastAsia="宋体" w:hAnsi="IBM Plex Sans" w:cs="Arial"/>
          <w:kern w:val="0"/>
          <w:sz w:val="24"/>
          <w:szCs w:val="24"/>
        </w:rPr>
        <w:t xml:space="preserve"> user-friendly UI as well as API connectivity built by Paradigm for DOV auctions, spawning an auction on a different day has become a real possibility.</w:t>
      </w:r>
      <w:commentRangeEnd w:id="2"/>
      <w:r w:rsidR="00747A68">
        <w:rPr>
          <w:rStyle w:val="aa"/>
        </w:rPr>
        <w:commentReference w:id="2"/>
      </w:r>
    </w:p>
    <w:p w14:paraId="37F4F8C2"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MS Gothic" w:eastAsia="MS Gothic" w:hAnsi="MS Gothic" w:cs="MS Gothic"/>
          <w:kern w:val="0"/>
          <w:sz w:val="24"/>
          <w:szCs w:val="24"/>
        </w:rPr>
        <w:t>‍</w:t>
      </w:r>
    </w:p>
    <w:p w14:paraId="4BF7FDA6" w14:textId="3494774E" w:rsidR="00583010" w:rsidRPr="00583010" w:rsidRDefault="00583010" w:rsidP="00583010">
      <w:pPr>
        <w:widowControl/>
        <w:jc w:val="left"/>
        <w:rPr>
          <w:rFonts w:ascii="IBM Plex Sans" w:eastAsia="宋体" w:hAnsi="IBM Plex Sans" w:cs="Arial"/>
          <w:kern w:val="0"/>
          <w:sz w:val="2"/>
          <w:szCs w:val="2"/>
        </w:rPr>
      </w:pPr>
      <w:r w:rsidRPr="00583010">
        <w:rPr>
          <w:rFonts w:ascii="IBM Plex Sans" w:eastAsia="宋体" w:hAnsi="IBM Plex Sans" w:cs="Arial"/>
          <w:noProof/>
          <w:kern w:val="0"/>
          <w:sz w:val="2"/>
          <w:szCs w:val="2"/>
        </w:rPr>
        <mc:AlternateContent>
          <mc:Choice Requires="wps">
            <w:drawing>
              <wp:inline distT="0" distB="0" distL="0" distR="0" wp14:anchorId="596C6407" wp14:editId="281123BB">
                <wp:extent cx="304800" cy="304800"/>
                <wp:effectExtent l="0" t="0" r="0" b="0"/>
                <wp:docPr id="292867703"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62DDA"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CA949D" w14:textId="7CB23AAA"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Market impact can also be mitigated through product diversification. As a path forward, DOVs should consider </w:t>
      </w:r>
      <w:r w:rsidRPr="00747A68">
        <w:rPr>
          <w:rFonts w:ascii="IBM Plex Sans" w:eastAsia="宋体" w:hAnsi="IBM Plex Sans" w:cs="Arial"/>
          <w:kern w:val="0"/>
          <w:sz w:val="24"/>
          <w:szCs w:val="24"/>
          <w:highlight w:val="yellow"/>
        </w:rPr>
        <w:t>more advanced strategies</w:t>
      </w:r>
      <w:r w:rsidRPr="00583010">
        <w:rPr>
          <w:rFonts w:ascii="IBM Plex Sans" w:eastAsia="宋体" w:hAnsi="IBM Plex Sans" w:cs="Arial"/>
          <w:kern w:val="0"/>
          <w:sz w:val="24"/>
          <w:szCs w:val="24"/>
        </w:rPr>
        <w:t xml:space="preserve"> rather than simple call/put selling. It</w:t>
      </w:r>
      <w:proofErr w:type="gramStart"/>
      <w:r w:rsidRPr="00583010">
        <w:rPr>
          <w:rFonts w:ascii="IBM Plex Sans" w:eastAsia="宋体" w:hAnsi="IBM Plex Sans" w:cs="Arial"/>
          <w:kern w:val="0"/>
          <w:sz w:val="24"/>
          <w:szCs w:val="24"/>
        </w:rPr>
        <w:t>’</w:t>
      </w:r>
      <w:proofErr w:type="gramEnd"/>
      <w:r w:rsidRPr="00583010">
        <w:rPr>
          <w:rFonts w:ascii="IBM Plex Sans" w:eastAsia="宋体" w:hAnsi="IBM Plex Sans" w:cs="Arial"/>
          <w:kern w:val="0"/>
          <w:sz w:val="24"/>
          <w:szCs w:val="24"/>
        </w:rPr>
        <w:t xml:space="preserve">s exciting to see Ribbon Finance recently launching a new vault built with </w:t>
      </w:r>
      <w:r w:rsidRPr="008F2843">
        <w:rPr>
          <w:rFonts w:ascii="IBM Plex Sans" w:eastAsia="宋体" w:hAnsi="IBM Plex Sans" w:cs="Arial"/>
          <w:kern w:val="0"/>
          <w:sz w:val="24"/>
          <w:szCs w:val="24"/>
          <w:highlight w:val="yellow"/>
        </w:rPr>
        <w:t>exotic options</w:t>
      </w:r>
      <w:r w:rsidR="008F2843" w:rsidRPr="008F2843">
        <w:rPr>
          <w:rFonts w:ascii="IBM Plex Sans" w:eastAsia="宋体" w:hAnsi="IBM Plex Sans" w:cs="Arial" w:hint="eastAsia"/>
          <w:kern w:val="0"/>
          <w:sz w:val="24"/>
          <w:szCs w:val="24"/>
          <w:highlight w:val="yellow"/>
        </w:rPr>
        <w:t>（</w:t>
      </w:r>
      <w:commentRangeStart w:id="3"/>
      <w:r w:rsidR="008F2843" w:rsidRPr="008F2843">
        <w:rPr>
          <w:rFonts w:ascii="IBM Plex Sans" w:eastAsia="宋体" w:hAnsi="IBM Plex Sans" w:cs="Arial" w:hint="eastAsia"/>
          <w:kern w:val="0"/>
          <w:sz w:val="24"/>
          <w:szCs w:val="24"/>
          <w:highlight w:val="yellow"/>
        </w:rPr>
        <w:t>奇异期权</w:t>
      </w:r>
      <w:commentRangeEnd w:id="3"/>
      <w:r w:rsidR="008F2843">
        <w:rPr>
          <w:rStyle w:val="aa"/>
        </w:rPr>
        <w:commentReference w:id="3"/>
      </w:r>
      <w:r w:rsidR="008F2843" w:rsidRPr="008F2843">
        <w:rPr>
          <w:rFonts w:ascii="IBM Plex Sans" w:eastAsia="宋体" w:hAnsi="IBM Plex Sans" w:cs="Arial" w:hint="eastAsia"/>
          <w:kern w:val="0"/>
          <w:sz w:val="24"/>
          <w:szCs w:val="24"/>
          <w:highlight w:val="yellow"/>
        </w:rPr>
        <w:t>）</w:t>
      </w:r>
      <w:r w:rsidRPr="00583010">
        <w:rPr>
          <w:rFonts w:ascii="IBM Plex Sans" w:eastAsia="宋体" w:hAnsi="IBM Plex Sans" w:cs="Arial"/>
          <w:kern w:val="0"/>
          <w:sz w:val="24"/>
          <w:szCs w:val="24"/>
        </w:rPr>
        <w:t xml:space="preserve">. </w:t>
      </w:r>
      <w:commentRangeStart w:id="4"/>
      <w:r w:rsidRPr="00583010">
        <w:rPr>
          <w:rFonts w:ascii="IBM Plex Sans" w:eastAsia="宋体" w:hAnsi="IBM Plex Sans" w:cs="Arial"/>
          <w:kern w:val="0"/>
          <w:sz w:val="24"/>
          <w:szCs w:val="24"/>
        </w:rPr>
        <w:t>DOVs are still in their nascent stage of development and there is still tremendous opportunity in this space if the projects can differentiate between themselves.</w:t>
      </w:r>
      <w:commentRangeEnd w:id="4"/>
      <w:r w:rsidR="008F2843">
        <w:rPr>
          <w:rStyle w:val="aa"/>
        </w:rPr>
        <w:commentReference w:id="4"/>
      </w:r>
    </w:p>
    <w:p w14:paraId="0DB3ED35"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b/>
          <w:bCs/>
          <w:kern w:val="0"/>
          <w:sz w:val="24"/>
          <w:szCs w:val="24"/>
        </w:rPr>
        <w:lastRenderedPageBreak/>
        <w:t xml:space="preserve">About </w:t>
      </w:r>
      <w:proofErr w:type="spellStart"/>
      <w:r w:rsidRPr="00583010">
        <w:rPr>
          <w:rFonts w:ascii="IBM Plex Sans" w:eastAsia="宋体" w:hAnsi="IBM Plex Sans" w:cs="Arial"/>
          <w:b/>
          <w:bCs/>
          <w:kern w:val="0"/>
          <w:sz w:val="24"/>
          <w:szCs w:val="24"/>
        </w:rPr>
        <w:t>OrBit</w:t>
      </w:r>
      <w:proofErr w:type="spellEnd"/>
      <w:r w:rsidRPr="00583010">
        <w:rPr>
          <w:rFonts w:ascii="IBM Plex Sans" w:eastAsia="宋体" w:hAnsi="IBM Plex Sans" w:cs="Arial"/>
          <w:b/>
          <w:bCs/>
          <w:kern w:val="0"/>
          <w:sz w:val="24"/>
          <w:szCs w:val="24"/>
        </w:rPr>
        <w:t xml:space="preserve"> Markets:</w:t>
      </w:r>
    </w:p>
    <w:p w14:paraId="4A9FB723"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proofErr w:type="spellStart"/>
      <w:r w:rsidRPr="008F2843">
        <w:rPr>
          <w:rFonts w:ascii="IBM Plex Sans" w:eastAsia="宋体" w:hAnsi="IBM Plex Sans" w:cs="Arial"/>
          <w:kern w:val="0"/>
          <w:sz w:val="24"/>
          <w:szCs w:val="24"/>
          <w:highlight w:val="yellow"/>
        </w:rPr>
        <w:t>OrBit</w:t>
      </w:r>
      <w:proofErr w:type="spellEnd"/>
      <w:r w:rsidRPr="008F2843">
        <w:rPr>
          <w:rFonts w:ascii="IBM Plex Sans" w:eastAsia="宋体" w:hAnsi="IBM Plex Sans" w:cs="Arial"/>
          <w:kern w:val="0"/>
          <w:sz w:val="24"/>
          <w:szCs w:val="24"/>
          <w:highlight w:val="yellow"/>
        </w:rPr>
        <w:t xml:space="preserve"> Markets</w:t>
      </w:r>
      <w:r w:rsidRPr="00583010">
        <w:rPr>
          <w:rFonts w:ascii="IBM Plex Sans" w:eastAsia="宋体" w:hAnsi="IBM Plex Sans" w:cs="Arial"/>
          <w:kern w:val="0"/>
          <w:sz w:val="24"/>
          <w:szCs w:val="24"/>
        </w:rPr>
        <w:t xml:space="preserve"> is an </w:t>
      </w:r>
      <w:r w:rsidRPr="008F2843">
        <w:rPr>
          <w:rFonts w:ascii="IBM Plex Sans" w:eastAsia="宋体" w:hAnsi="IBM Plex Sans" w:cs="Arial"/>
          <w:kern w:val="0"/>
          <w:sz w:val="24"/>
          <w:szCs w:val="24"/>
          <w:highlight w:val="yellow"/>
        </w:rPr>
        <w:t>institutional liquidity provider</w:t>
      </w:r>
      <w:r w:rsidRPr="00583010">
        <w:rPr>
          <w:rFonts w:ascii="IBM Plex Sans" w:eastAsia="宋体" w:hAnsi="IBM Plex Sans" w:cs="Arial"/>
          <w:kern w:val="0"/>
          <w:sz w:val="24"/>
          <w:szCs w:val="24"/>
        </w:rPr>
        <w:t xml:space="preserve"> of options and </w:t>
      </w:r>
      <w:r w:rsidRPr="008F2843">
        <w:rPr>
          <w:rFonts w:ascii="IBM Plex Sans" w:eastAsia="宋体" w:hAnsi="IBM Plex Sans" w:cs="Arial"/>
          <w:kern w:val="0"/>
          <w:sz w:val="24"/>
          <w:szCs w:val="24"/>
          <w:highlight w:val="yellow"/>
        </w:rPr>
        <w:t>structured products</w:t>
      </w:r>
      <w:r w:rsidRPr="00583010">
        <w:rPr>
          <w:rFonts w:ascii="IBM Plex Sans" w:eastAsia="宋体" w:hAnsi="IBM Plex Sans" w:cs="Arial"/>
          <w:kern w:val="0"/>
          <w:sz w:val="24"/>
          <w:szCs w:val="24"/>
        </w:rPr>
        <w:t xml:space="preserve"> in digital assets. Founded by a team of former executives in trading and computer science, and backed by </w:t>
      </w:r>
      <w:proofErr w:type="spellStart"/>
      <w:r w:rsidRPr="00583010">
        <w:rPr>
          <w:rFonts w:ascii="IBM Plex Sans" w:eastAsia="宋体" w:hAnsi="IBM Plex Sans" w:cs="Arial"/>
          <w:kern w:val="0"/>
          <w:sz w:val="24"/>
          <w:szCs w:val="24"/>
        </w:rPr>
        <w:t>Matrixport</w:t>
      </w:r>
      <w:proofErr w:type="spellEnd"/>
      <w:r w:rsidRPr="00583010">
        <w:rPr>
          <w:rFonts w:ascii="IBM Plex Sans" w:eastAsia="宋体" w:hAnsi="IBM Plex Sans" w:cs="Arial"/>
          <w:kern w:val="0"/>
          <w:sz w:val="24"/>
          <w:szCs w:val="24"/>
        </w:rPr>
        <w:t xml:space="preserve"> and </w:t>
      </w:r>
      <w:proofErr w:type="spellStart"/>
      <w:r w:rsidRPr="00583010">
        <w:rPr>
          <w:rFonts w:ascii="IBM Plex Sans" w:eastAsia="宋体" w:hAnsi="IBM Plex Sans" w:cs="Arial"/>
          <w:kern w:val="0"/>
          <w:sz w:val="24"/>
          <w:szCs w:val="24"/>
        </w:rPr>
        <w:t>Brevan</w:t>
      </w:r>
      <w:proofErr w:type="spellEnd"/>
      <w:r w:rsidRPr="00583010">
        <w:rPr>
          <w:rFonts w:ascii="IBM Plex Sans" w:eastAsia="宋体" w:hAnsi="IBM Plex Sans" w:cs="Arial"/>
          <w:kern w:val="0"/>
          <w:sz w:val="24"/>
          <w:szCs w:val="24"/>
        </w:rPr>
        <w:t xml:space="preserve"> Howard Digital, </w:t>
      </w:r>
      <w:proofErr w:type="spellStart"/>
      <w:r w:rsidRPr="00583010">
        <w:rPr>
          <w:rFonts w:ascii="IBM Plex Sans" w:eastAsia="宋体" w:hAnsi="IBM Plex Sans" w:cs="Arial"/>
          <w:kern w:val="0"/>
          <w:sz w:val="24"/>
          <w:szCs w:val="24"/>
        </w:rPr>
        <w:t>OrBit</w:t>
      </w:r>
      <w:proofErr w:type="spellEnd"/>
      <w:r w:rsidRPr="00583010">
        <w:rPr>
          <w:rFonts w:ascii="IBM Plex Sans" w:eastAsia="宋体" w:hAnsi="IBM Plex Sans" w:cs="Arial"/>
          <w:kern w:val="0"/>
          <w:sz w:val="24"/>
          <w:szCs w:val="24"/>
        </w:rPr>
        <w:t xml:space="preserve"> brings its expert know-how in options to the crypto market. Headquartered in Singapore, </w:t>
      </w:r>
      <w:proofErr w:type="spellStart"/>
      <w:r w:rsidRPr="00583010">
        <w:rPr>
          <w:rFonts w:ascii="IBM Plex Sans" w:eastAsia="宋体" w:hAnsi="IBM Plex Sans" w:cs="Arial"/>
          <w:kern w:val="0"/>
          <w:sz w:val="24"/>
          <w:szCs w:val="24"/>
        </w:rPr>
        <w:t>OrBit</w:t>
      </w:r>
      <w:proofErr w:type="spellEnd"/>
      <w:r w:rsidRPr="00583010">
        <w:rPr>
          <w:rFonts w:ascii="IBM Plex Sans" w:eastAsia="宋体" w:hAnsi="IBM Plex Sans" w:cs="Arial"/>
          <w:kern w:val="0"/>
          <w:sz w:val="24"/>
          <w:szCs w:val="24"/>
        </w:rPr>
        <w:t xml:space="preserve"> serves institutions across </w:t>
      </w:r>
      <w:proofErr w:type="spellStart"/>
      <w:r w:rsidRPr="00583010">
        <w:rPr>
          <w:rFonts w:ascii="IBM Plex Sans" w:eastAsia="宋体" w:hAnsi="IBM Plex Sans" w:cs="Arial"/>
          <w:kern w:val="0"/>
          <w:sz w:val="24"/>
          <w:szCs w:val="24"/>
        </w:rPr>
        <w:t>CeFi</w:t>
      </w:r>
      <w:proofErr w:type="spellEnd"/>
      <w:r w:rsidRPr="00583010">
        <w:rPr>
          <w:rFonts w:ascii="IBM Plex Sans" w:eastAsia="宋体" w:hAnsi="IBM Plex Sans" w:cs="Arial"/>
          <w:kern w:val="0"/>
          <w:sz w:val="24"/>
          <w:szCs w:val="24"/>
        </w:rPr>
        <w:t xml:space="preserve">, DeFi and </w:t>
      </w:r>
      <w:proofErr w:type="spellStart"/>
      <w:r w:rsidRPr="00583010">
        <w:rPr>
          <w:rFonts w:ascii="IBM Plex Sans" w:eastAsia="宋体" w:hAnsi="IBM Plex Sans" w:cs="Arial"/>
          <w:kern w:val="0"/>
          <w:sz w:val="24"/>
          <w:szCs w:val="24"/>
        </w:rPr>
        <w:t>TradFi</w:t>
      </w:r>
      <w:proofErr w:type="spellEnd"/>
      <w:r w:rsidRPr="00583010">
        <w:rPr>
          <w:rFonts w:ascii="IBM Plex Sans" w:eastAsia="宋体" w:hAnsi="IBM Plex Sans" w:cs="Arial"/>
          <w:kern w:val="0"/>
          <w:sz w:val="24"/>
          <w:szCs w:val="24"/>
        </w:rPr>
        <w:t xml:space="preserve"> looking for </w:t>
      </w:r>
      <w:r w:rsidRPr="002A3993">
        <w:rPr>
          <w:rFonts w:ascii="IBM Plex Sans" w:eastAsia="宋体" w:hAnsi="IBM Plex Sans" w:cs="Arial"/>
          <w:kern w:val="0"/>
          <w:sz w:val="24"/>
          <w:szCs w:val="24"/>
          <w:highlight w:val="yellow"/>
        </w:rPr>
        <w:t>more sophisticated investing and hedging solutions</w:t>
      </w:r>
      <w:r w:rsidRPr="00583010">
        <w:rPr>
          <w:rFonts w:ascii="IBM Plex Sans" w:eastAsia="宋体" w:hAnsi="IBM Plex Sans" w:cs="Arial"/>
          <w:kern w:val="0"/>
          <w:sz w:val="24"/>
          <w:szCs w:val="24"/>
        </w:rPr>
        <w:t xml:space="preserve"> in digital assets. For more information, visit</w:t>
      </w:r>
      <w:hyperlink r:id="rId12" w:history="1">
        <w:r w:rsidRPr="00583010">
          <w:rPr>
            <w:rFonts w:ascii="Cambria" w:eastAsia="宋体" w:hAnsi="Cambria" w:cs="Cambria"/>
            <w:kern w:val="0"/>
            <w:sz w:val="24"/>
            <w:szCs w:val="24"/>
            <w:u w:val="single"/>
          </w:rPr>
          <w:t> </w:t>
        </w:r>
        <w:r w:rsidRPr="00583010">
          <w:rPr>
            <w:rFonts w:ascii="Roboto" w:eastAsia="宋体" w:hAnsi="Roboto" w:cs="Arial"/>
            <w:kern w:val="0"/>
            <w:sz w:val="24"/>
            <w:szCs w:val="24"/>
            <w:u w:val="single"/>
          </w:rPr>
          <w:t>www.orbitmarkets.io</w:t>
        </w:r>
      </w:hyperlink>
      <w:r w:rsidRPr="00583010">
        <w:rPr>
          <w:rFonts w:ascii="IBM Plex Sans" w:eastAsia="宋体" w:hAnsi="IBM Plex Sans" w:cs="Arial"/>
          <w:kern w:val="0"/>
          <w:sz w:val="24"/>
          <w:szCs w:val="24"/>
        </w:rPr>
        <w:t>.</w:t>
      </w:r>
    </w:p>
    <w:p w14:paraId="6C418BFC"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MS Gothic" w:eastAsia="MS Gothic" w:hAnsi="MS Gothic" w:cs="MS Gothic"/>
          <w:kern w:val="0"/>
          <w:sz w:val="24"/>
          <w:szCs w:val="24"/>
        </w:rPr>
        <w:t>‍</w:t>
      </w:r>
    </w:p>
    <w:p w14:paraId="29A42D52"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b/>
          <w:bCs/>
          <w:kern w:val="0"/>
          <w:sz w:val="24"/>
          <w:szCs w:val="24"/>
        </w:rPr>
        <w:t>About Paradigm:</w:t>
      </w:r>
    </w:p>
    <w:p w14:paraId="1A6B767D"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Paradigm is an </w:t>
      </w:r>
      <w:r w:rsidRPr="002A3993">
        <w:rPr>
          <w:rFonts w:ascii="IBM Plex Sans" w:eastAsia="宋体" w:hAnsi="IBM Plex Sans" w:cs="Arial"/>
          <w:kern w:val="0"/>
          <w:sz w:val="24"/>
          <w:szCs w:val="24"/>
          <w:highlight w:val="yellow"/>
        </w:rPr>
        <w:t>institutional liquidity network</w:t>
      </w:r>
      <w:r w:rsidRPr="00583010">
        <w:rPr>
          <w:rFonts w:ascii="IBM Plex Sans" w:eastAsia="宋体" w:hAnsi="IBM Plex Sans" w:cs="Arial"/>
          <w:kern w:val="0"/>
          <w:sz w:val="24"/>
          <w:szCs w:val="24"/>
        </w:rPr>
        <w:t xml:space="preserve"> for crypto derivatives traders and crypto protocols across both </w:t>
      </w:r>
      <w:proofErr w:type="spellStart"/>
      <w:r w:rsidRPr="00583010">
        <w:rPr>
          <w:rFonts w:ascii="IBM Plex Sans" w:eastAsia="宋体" w:hAnsi="IBM Plex Sans" w:cs="Arial"/>
          <w:kern w:val="0"/>
          <w:sz w:val="24"/>
          <w:szCs w:val="24"/>
        </w:rPr>
        <w:t>CeFi</w:t>
      </w:r>
      <w:proofErr w:type="spellEnd"/>
      <w:r w:rsidRPr="00583010">
        <w:rPr>
          <w:rFonts w:ascii="IBM Plex Sans" w:eastAsia="宋体" w:hAnsi="IBM Plex Sans" w:cs="Arial"/>
          <w:kern w:val="0"/>
          <w:sz w:val="24"/>
          <w:szCs w:val="24"/>
        </w:rPr>
        <w:t xml:space="preserve"> and DeFi ecosystems. The platform provides traders and crypto protocols unified access to </w:t>
      </w:r>
      <w:r w:rsidRPr="003E1964">
        <w:rPr>
          <w:rFonts w:ascii="IBM Plex Sans" w:eastAsia="宋体" w:hAnsi="IBM Plex Sans" w:cs="Arial"/>
          <w:kern w:val="0"/>
          <w:sz w:val="24"/>
          <w:szCs w:val="24"/>
          <w:highlight w:val="yellow"/>
        </w:rPr>
        <w:t>multi-asset, multi-protocol liquidity</w:t>
      </w:r>
      <w:r w:rsidRPr="00583010">
        <w:rPr>
          <w:rFonts w:ascii="IBM Plex Sans" w:eastAsia="宋体" w:hAnsi="IBM Plex Sans" w:cs="Arial"/>
          <w:kern w:val="0"/>
          <w:sz w:val="24"/>
          <w:szCs w:val="24"/>
        </w:rPr>
        <w:t xml:space="preserve"> on demand without compromising on execution preferences, costs and immediacy. The firm’s mission is to create a platform where traders can trade anything, with anyone and settle it anywhere.</w:t>
      </w:r>
    </w:p>
    <w:p w14:paraId="27AD48C4" w14:textId="77777777" w:rsidR="00583010" w:rsidRPr="00583010" w:rsidRDefault="00583010" w:rsidP="00583010">
      <w:pPr>
        <w:widowControl/>
        <w:spacing w:before="240" w:line="420" w:lineRule="atLeast"/>
        <w:jc w:val="left"/>
        <w:rPr>
          <w:rFonts w:ascii="IBM Plex Sans" w:eastAsia="宋体" w:hAnsi="IBM Plex Sans" w:cs="Arial"/>
          <w:kern w:val="0"/>
          <w:sz w:val="24"/>
          <w:szCs w:val="24"/>
        </w:rPr>
      </w:pPr>
      <w:r w:rsidRPr="00583010">
        <w:rPr>
          <w:rFonts w:ascii="IBM Plex Sans" w:eastAsia="宋体" w:hAnsi="IBM Plex Sans" w:cs="Arial"/>
          <w:kern w:val="0"/>
          <w:sz w:val="24"/>
          <w:szCs w:val="24"/>
        </w:rPr>
        <w:t xml:space="preserve">Paradigm has the </w:t>
      </w:r>
      <w:r w:rsidRPr="003E1964">
        <w:rPr>
          <w:rFonts w:ascii="IBM Plex Sans" w:eastAsia="宋体" w:hAnsi="IBM Plex Sans" w:cs="Arial"/>
          <w:kern w:val="0"/>
          <w:sz w:val="24"/>
          <w:szCs w:val="24"/>
          <w:highlight w:val="yellow"/>
        </w:rPr>
        <w:t>largest network of institutional counterparties</w:t>
      </w:r>
      <w:r w:rsidRPr="00583010">
        <w:rPr>
          <w:rFonts w:ascii="IBM Plex Sans" w:eastAsia="宋体" w:hAnsi="IBM Plex Sans" w:cs="Arial"/>
          <w:kern w:val="0"/>
          <w:sz w:val="24"/>
          <w:szCs w:val="24"/>
        </w:rPr>
        <w:t xml:space="preserve"> in crypto with over </w:t>
      </w:r>
      <w:r w:rsidRPr="003E1964">
        <w:rPr>
          <w:rFonts w:ascii="IBM Plex Sans" w:eastAsia="宋体" w:hAnsi="IBM Plex Sans" w:cs="Arial"/>
          <w:kern w:val="0"/>
          <w:sz w:val="24"/>
          <w:szCs w:val="24"/>
          <w:highlight w:val="yellow"/>
        </w:rPr>
        <w:t>700</w:t>
      </w:r>
      <w:r w:rsidRPr="00583010">
        <w:rPr>
          <w:rFonts w:ascii="IBM Plex Sans" w:eastAsia="宋体" w:hAnsi="IBM Plex Sans" w:cs="Arial"/>
          <w:kern w:val="0"/>
          <w:sz w:val="24"/>
          <w:szCs w:val="24"/>
        </w:rPr>
        <w:t xml:space="preserve"> institutional clients trading over </w:t>
      </w:r>
      <w:r w:rsidRPr="003E1964">
        <w:rPr>
          <w:rFonts w:ascii="IBM Plex Sans" w:eastAsia="宋体" w:hAnsi="IBM Plex Sans" w:cs="Arial"/>
          <w:kern w:val="0"/>
          <w:sz w:val="24"/>
          <w:szCs w:val="24"/>
          <w:highlight w:val="yellow"/>
        </w:rPr>
        <w:t>$10B per month</w:t>
      </w:r>
      <w:r w:rsidRPr="00583010">
        <w:rPr>
          <w:rFonts w:ascii="IBM Plex Sans" w:eastAsia="宋体" w:hAnsi="IBM Plex Sans" w:cs="Arial"/>
          <w:kern w:val="0"/>
          <w:sz w:val="24"/>
          <w:szCs w:val="24"/>
        </w:rPr>
        <w:t xml:space="preserve"> including Hedge Funds, OTC Desks, Lenders, Structured Product Issuers, Market Makers, and prominent Family Offices.</w:t>
      </w:r>
    </w:p>
    <w:p w14:paraId="3576C2EA" w14:textId="77777777" w:rsidR="008D3247" w:rsidRPr="00583010" w:rsidRDefault="008D3247"/>
    <w:sectPr w:rsidR="008D3247" w:rsidRPr="005830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4T17:35:00Z" w:initials="LC">
    <w:p w14:paraId="710413C4" w14:textId="77777777" w:rsidR="00216D84" w:rsidRDefault="00216D84" w:rsidP="00AC5E83">
      <w:pPr>
        <w:pStyle w:val="ab"/>
      </w:pPr>
      <w:r>
        <w:rPr>
          <w:rStyle w:val="aa"/>
        </w:rPr>
        <w:annotationRef/>
      </w:r>
      <w:r>
        <w:rPr>
          <w:color w:val="2A2B2E"/>
          <w:highlight w:val="white"/>
        </w:rPr>
        <w:t>专业做市商通过拍卖程序购买这些期权，拍卖程序每周在固定的时间进行，通常是在周五。</w:t>
      </w:r>
      <w:r>
        <w:t xml:space="preserve"> </w:t>
      </w:r>
    </w:p>
  </w:comment>
  <w:comment w:id="1" w:author="Lin Corey" w:date="2023-04-14T17:37:00Z" w:initials="LC">
    <w:p w14:paraId="3DFD4597" w14:textId="77777777" w:rsidR="00216D84" w:rsidRDefault="00216D84" w:rsidP="008A22E8">
      <w:pPr>
        <w:pStyle w:val="ab"/>
      </w:pPr>
      <w:r>
        <w:rPr>
          <w:rStyle w:val="aa"/>
        </w:rPr>
        <w:annotationRef/>
      </w:r>
      <w:r>
        <w:rPr>
          <w:color w:val="2A2B2E"/>
          <w:highlight w:val="white"/>
        </w:rPr>
        <w:t>每个DOV都希望在同一工作日(周五)的同一时间进行拍卖。从历史上看，这是因为周五到期的期权是Deribit(主要的CeFi期权交易所)上流动性最强的合约，使得做市商更容易对冲DOV流量。然而，随着越来越多经验丰富的做市商进入这一领域，周五以外到期的期权越来越具有流动性。</w:t>
      </w:r>
      <w:r>
        <w:t xml:space="preserve"> </w:t>
      </w:r>
    </w:p>
  </w:comment>
  <w:comment w:id="2" w:author="Lin Corey" w:date="2023-04-17T10:52:00Z" w:initials="LC">
    <w:p w14:paraId="4A5B41BD" w14:textId="77777777" w:rsidR="00747A68" w:rsidRDefault="00747A68" w:rsidP="007A36F1">
      <w:pPr>
        <w:pStyle w:val="ab"/>
      </w:pPr>
      <w:r>
        <w:rPr>
          <w:rStyle w:val="aa"/>
        </w:rPr>
        <w:annotationRef/>
      </w:r>
      <w:r>
        <w:rPr>
          <w:color w:val="2A2B2E"/>
          <w:highlight w:val="white"/>
        </w:rPr>
        <w:t>虽然在过去，聚集足够数量的做市商并组织拍卖可能是一个操作上的挑战，但Paradigm使这个过程变得容易了。通过Paradigm为DOV拍卖构建的用户友好的UI和API连接，在不同的日子生成拍卖已经成为可能。</w:t>
      </w:r>
      <w:r>
        <w:t xml:space="preserve"> </w:t>
      </w:r>
    </w:p>
  </w:comment>
  <w:comment w:id="3" w:author="Lin Corey" w:date="2023-04-17T11:01:00Z" w:initials="LC">
    <w:p w14:paraId="5C8196AC" w14:textId="77777777" w:rsidR="008F2843" w:rsidRDefault="008F2843" w:rsidP="009E1637">
      <w:pPr>
        <w:pStyle w:val="ab"/>
      </w:pPr>
      <w:r>
        <w:rPr>
          <w:rStyle w:val="aa"/>
        </w:rPr>
        <w:annotationRef/>
      </w:r>
      <w:r>
        <w:t>值得深入研究</w:t>
      </w:r>
    </w:p>
  </w:comment>
  <w:comment w:id="4" w:author="Lin Corey" w:date="2023-04-17T11:01:00Z" w:initials="LC">
    <w:p w14:paraId="12D1B5C3" w14:textId="77777777" w:rsidR="008F2843" w:rsidRDefault="008F2843" w:rsidP="00C7357A">
      <w:pPr>
        <w:pStyle w:val="ab"/>
      </w:pPr>
      <w:r>
        <w:rPr>
          <w:rStyle w:val="aa"/>
        </w:rPr>
        <w:annotationRef/>
      </w:r>
      <w:r>
        <w:rPr>
          <w:color w:val="2A2B2E"/>
          <w:highlight w:val="white"/>
        </w:rPr>
        <w:t>dov仍处于发展的初级阶段，如果项目能够脱颖而出，在这个领域仍有巨大的机会。</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413C4" w15:done="0"/>
  <w15:commentEx w15:paraId="3DFD4597" w15:done="0"/>
  <w15:commentEx w15:paraId="4A5B41BD" w15:done="0"/>
  <w15:commentEx w15:paraId="5C8196AC" w15:done="0"/>
  <w15:commentEx w15:paraId="12D1B5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40D59" w16cex:dateUtc="2023-04-14T09:35:00Z"/>
  <w16cex:commentExtensible w16cex:durableId="27E40DC0" w16cex:dateUtc="2023-04-14T09:37:00Z"/>
  <w16cex:commentExtensible w16cex:durableId="27E7A35E" w16cex:dateUtc="2023-04-17T02:52:00Z"/>
  <w16cex:commentExtensible w16cex:durableId="27E7A57E" w16cex:dateUtc="2023-04-17T03:01:00Z"/>
  <w16cex:commentExtensible w16cex:durableId="27E7A593" w16cex:dateUtc="2023-04-1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413C4" w16cid:durableId="27E40D59"/>
  <w16cid:commentId w16cid:paraId="3DFD4597" w16cid:durableId="27E40DC0"/>
  <w16cid:commentId w16cid:paraId="4A5B41BD" w16cid:durableId="27E7A35E"/>
  <w16cid:commentId w16cid:paraId="5C8196AC" w16cid:durableId="27E7A57E"/>
  <w16cid:commentId w16cid:paraId="12D1B5C3" w16cid:durableId="27E7A5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08342" w14:textId="77777777" w:rsidR="00BD0FC6" w:rsidRDefault="00BD0FC6" w:rsidP="00583010">
      <w:r>
        <w:separator/>
      </w:r>
    </w:p>
  </w:endnote>
  <w:endnote w:type="continuationSeparator" w:id="0">
    <w:p w14:paraId="68E056C8" w14:textId="77777777" w:rsidR="00BD0FC6" w:rsidRDefault="00BD0FC6" w:rsidP="0058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BM Plex Sans">
    <w:altName w:val="Calibri"/>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3D8D2" w14:textId="77777777" w:rsidR="00BD0FC6" w:rsidRDefault="00BD0FC6" w:rsidP="00583010">
      <w:r>
        <w:separator/>
      </w:r>
    </w:p>
  </w:footnote>
  <w:footnote w:type="continuationSeparator" w:id="0">
    <w:p w14:paraId="5E8248F3" w14:textId="77777777" w:rsidR="00BD0FC6" w:rsidRDefault="00BD0FC6" w:rsidP="0058301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5B"/>
    <w:rsid w:val="00075463"/>
    <w:rsid w:val="000D357D"/>
    <w:rsid w:val="001F7A5B"/>
    <w:rsid w:val="00216D84"/>
    <w:rsid w:val="002A3993"/>
    <w:rsid w:val="003E1964"/>
    <w:rsid w:val="00583010"/>
    <w:rsid w:val="005B0FA7"/>
    <w:rsid w:val="00747A68"/>
    <w:rsid w:val="008D3247"/>
    <w:rsid w:val="008F2843"/>
    <w:rsid w:val="00BD0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B3BE1"/>
  <w15:chartTrackingRefBased/>
  <w15:docId w15:val="{17010C8C-1943-47FE-8E3A-7D4CF921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30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010"/>
    <w:rPr>
      <w:sz w:val="18"/>
      <w:szCs w:val="18"/>
    </w:rPr>
  </w:style>
  <w:style w:type="paragraph" w:styleId="a5">
    <w:name w:val="footer"/>
    <w:basedOn w:val="a"/>
    <w:link w:val="a6"/>
    <w:uiPriority w:val="99"/>
    <w:unhideWhenUsed/>
    <w:rsid w:val="00583010"/>
    <w:pPr>
      <w:tabs>
        <w:tab w:val="center" w:pos="4153"/>
        <w:tab w:val="right" w:pos="8306"/>
      </w:tabs>
      <w:snapToGrid w:val="0"/>
      <w:jc w:val="left"/>
    </w:pPr>
    <w:rPr>
      <w:sz w:val="18"/>
      <w:szCs w:val="18"/>
    </w:rPr>
  </w:style>
  <w:style w:type="character" w:customStyle="1" w:styleId="a6">
    <w:name w:val="页脚 字符"/>
    <w:basedOn w:val="a0"/>
    <w:link w:val="a5"/>
    <w:uiPriority w:val="99"/>
    <w:rsid w:val="00583010"/>
    <w:rPr>
      <w:sz w:val="18"/>
      <w:szCs w:val="18"/>
    </w:rPr>
  </w:style>
  <w:style w:type="character" w:customStyle="1" w:styleId="10">
    <w:name w:val="标题 1 字符"/>
    <w:basedOn w:val="a0"/>
    <w:link w:val="1"/>
    <w:uiPriority w:val="9"/>
    <w:rsid w:val="00583010"/>
    <w:rPr>
      <w:rFonts w:ascii="宋体" w:eastAsia="宋体" w:hAnsi="宋体" w:cs="宋体"/>
      <w:b/>
      <w:bCs/>
      <w:kern w:val="36"/>
      <w:sz w:val="48"/>
      <w:szCs w:val="48"/>
    </w:rPr>
  </w:style>
  <w:style w:type="character" w:styleId="a7">
    <w:name w:val="Hyperlink"/>
    <w:basedOn w:val="a0"/>
    <w:uiPriority w:val="99"/>
    <w:semiHidden/>
    <w:unhideWhenUsed/>
    <w:rsid w:val="00583010"/>
    <w:rPr>
      <w:color w:val="0000FF"/>
      <w:u w:val="single"/>
    </w:rPr>
  </w:style>
  <w:style w:type="paragraph" w:customStyle="1" w:styleId="blog-details--title">
    <w:name w:val="blog-details--title"/>
    <w:basedOn w:val="a"/>
    <w:rsid w:val="00583010"/>
    <w:pPr>
      <w:widowControl/>
      <w:spacing w:before="100" w:beforeAutospacing="1" w:after="100" w:afterAutospacing="1"/>
      <w:jc w:val="left"/>
    </w:pPr>
    <w:rPr>
      <w:rFonts w:ascii="宋体" w:eastAsia="宋体" w:hAnsi="宋体" w:cs="宋体"/>
      <w:kern w:val="0"/>
      <w:sz w:val="24"/>
      <w:szCs w:val="24"/>
    </w:rPr>
  </w:style>
  <w:style w:type="paragraph" w:customStyle="1" w:styleId="paragraph-6">
    <w:name w:val="paragraph-6"/>
    <w:basedOn w:val="a"/>
    <w:rsid w:val="00583010"/>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583010"/>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83010"/>
    <w:rPr>
      <w:b/>
      <w:bCs/>
    </w:rPr>
  </w:style>
  <w:style w:type="character" w:styleId="aa">
    <w:name w:val="annotation reference"/>
    <w:basedOn w:val="a0"/>
    <w:uiPriority w:val="99"/>
    <w:semiHidden/>
    <w:unhideWhenUsed/>
    <w:rsid w:val="00216D84"/>
    <w:rPr>
      <w:sz w:val="21"/>
      <w:szCs w:val="21"/>
    </w:rPr>
  </w:style>
  <w:style w:type="paragraph" w:styleId="ab">
    <w:name w:val="annotation text"/>
    <w:basedOn w:val="a"/>
    <w:link w:val="ac"/>
    <w:uiPriority w:val="99"/>
    <w:unhideWhenUsed/>
    <w:rsid w:val="00216D84"/>
    <w:pPr>
      <w:jc w:val="left"/>
    </w:pPr>
  </w:style>
  <w:style w:type="character" w:customStyle="1" w:styleId="ac">
    <w:name w:val="批注文字 字符"/>
    <w:basedOn w:val="a0"/>
    <w:link w:val="ab"/>
    <w:uiPriority w:val="99"/>
    <w:rsid w:val="00216D84"/>
  </w:style>
  <w:style w:type="paragraph" w:styleId="ad">
    <w:name w:val="annotation subject"/>
    <w:basedOn w:val="ab"/>
    <w:next w:val="ab"/>
    <w:link w:val="ae"/>
    <w:uiPriority w:val="99"/>
    <w:semiHidden/>
    <w:unhideWhenUsed/>
    <w:rsid w:val="00216D84"/>
    <w:rPr>
      <w:b/>
      <w:bCs/>
    </w:rPr>
  </w:style>
  <w:style w:type="character" w:customStyle="1" w:styleId="ae">
    <w:name w:val="批注主题 字符"/>
    <w:basedOn w:val="ac"/>
    <w:link w:val="ad"/>
    <w:uiPriority w:val="99"/>
    <w:semiHidden/>
    <w:rsid w:val="00216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82489">
      <w:bodyDiv w:val="1"/>
      <w:marLeft w:val="0"/>
      <w:marRight w:val="0"/>
      <w:marTop w:val="0"/>
      <w:marBottom w:val="0"/>
      <w:divBdr>
        <w:top w:val="none" w:sz="0" w:space="0" w:color="auto"/>
        <w:left w:val="none" w:sz="0" w:space="0" w:color="auto"/>
        <w:bottom w:val="none" w:sz="0" w:space="0" w:color="auto"/>
        <w:right w:val="none" w:sz="0" w:space="0" w:color="auto"/>
      </w:divBdr>
      <w:divsChild>
        <w:div w:id="608196638">
          <w:marLeft w:val="0"/>
          <w:marRight w:val="0"/>
          <w:marTop w:val="1500"/>
          <w:marBottom w:val="0"/>
          <w:divBdr>
            <w:top w:val="none" w:sz="0" w:space="0" w:color="auto"/>
            <w:left w:val="none" w:sz="0" w:space="0" w:color="auto"/>
            <w:bottom w:val="none" w:sz="0" w:space="0" w:color="auto"/>
            <w:right w:val="none" w:sz="0" w:space="0" w:color="auto"/>
          </w:divBdr>
        </w:div>
        <w:div w:id="590547480">
          <w:marLeft w:val="0"/>
          <w:marRight w:val="0"/>
          <w:marTop w:val="0"/>
          <w:marBottom w:val="1200"/>
          <w:divBdr>
            <w:top w:val="none" w:sz="0" w:space="0" w:color="auto"/>
            <w:left w:val="none" w:sz="0" w:space="0" w:color="auto"/>
            <w:bottom w:val="none" w:sz="0" w:space="0" w:color="auto"/>
            <w:right w:val="none" w:sz="0" w:space="0" w:color="auto"/>
          </w:divBdr>
          <w:divsChild>
            <w:div w:id="958923573">
              <w:marLeft w:val="0"/>
              <w:marRight w:val="0"/>
              <w:marTop w:val="0"/>
              <w:marBottom w:val="0"/>
              <w:divBdr>
                <w:top w:val="none" w:sz="0" w:space="0" w:color="auto"/>
                <w:left w:val="none" w:sz="0" w:space="0" w:color="auto"/>
                <w:bottom w:val="none" w:sz="0" w:space="0" w:color="auto"/>
                <w:right w:val="none" w:sz="0" w:space="0" w:color="auto"/>
              </w:divBdr>
              <w:divsChild>
                <w:div w:id="795173606">
                  <w:marLeft w:val="0"/>
                  <w:marRight w:val="0"/>
                  <w:marTop w:val="0"/>
                  <w:marBottom w:val="0"/>
                  <w:divBdr>
                    <w:top w:val="none" w:sz="0" w:space="0" w:color="auto"/>
                    <w:left w:val="none" w:sz="0" w:space="0" w:color="auto"/>
                    <w:bottom w:val="none" w:sz="0" w:space="0" w:color="auto"/>
                    <w:right w:val="none" w:sz="0" w:space="0" w:color="auto"/>
                  </w:divBdr>
                  <w:divsChild>
                    <w:div w:id="1207177035">
                      <w:marLeft w:val="0"/>
                      <w:marRight w:val="0"/>
                      <w:marTop w:val="150"/>
                      <w:marBottom w:val="0"/>
                      <w:divBdr>
                        <w:top w:val="none" w:sz="0" w:space="0" w:color="auto"/>
                        <w:left w:val="none" w:sz="0" w:space="0" w:color="auto"/>
                        <w:bottom w:val="none" w:sz="0" w:space="0" w:color="auto"/>
                        <w:right w:val="none" w:sz="0" w:space="0" w:color="auto"/>
                      </w:divBdr>
                      <w:divsChild>
                        <w:div w:id="527641768">
                          <w:marLeft w:val="0"/>
                          <w:marRight w:val="0"/>
                          <w:marTop w:val="0"/>
                          <w:marBottom w:val="0"/>
                          <w:divBdr>
                            <w:top w:val="none" w:sz="0" w:space="0" w:color="auto"/>
                            <w:left w:val="none" w:sz="0" w:space="0" w:color="auto"/>
                            <w:bottom w:val="none" w:sz="0" w:space="0" w:color="auto"/>
                            <w:right w:val="none" w:sz="0" w:space="0" w:color="auto"/>
                          </w:divBdr>
                        </w:div>
                      </w:divsChild>
                    </w:div>
                    <w:div w:id="344795217">
                      <w:marLeft w:val="0"/>
                      <w:marRight w:val="0"/>
                      <w:marTop w:val="0"/>
                      <w:marBottom w:val="0"/>
                      <w:divBdr>
                        <w:top w:val="none" w:sz="0" w:space="0" w:color="auto"/>
                        <w:left w:val="none" w:sz="0" w:space="0" w:color="auto"/>
                        <w:bottom w:val="none" w:sz="0" w:space="0" w:color="auto"/>
                        <w:right w:val="none" w:sz="0" w:space="0" w:color="auto"/>
                      </w:divBdr>
                      <w:divsChild>
                        <w:div w:id="728921332">
                          <w:marLeft w:val="0"/>
                          <w:marRight w:val="0"/>
                          <w:marTop w:val="0"/>
                          <w:marBottom w:val="0"/>
                          <w:divBdr>
                            <w:top w:val="none" w:sz="0" w:space="0" w:color="auto"/>
                            <w:left w:val="none" w:sz="0" w:space="0" w:color="auto"/>
                            <w:bottom w:val="none" w:sz="0" w:space="0" w:color="auto"/>
                            <w:right w:val="none" w:sz="0" w:space="0" w:color="auto"/>
                          </w:divBdr>
                        </w:div>
                        <w:div w:id="1701856504">
                          <w:marLeft w:val="0"/>
                          <w:marRight w:val="0"/>
                          <w:marTop w:val="0"/>
                          <w:marBottom w:val="0"/>
                          <w:divBdr>
                            <w:top w:val="none" w:sz="0" w:space="0" w:color="auto"/>
                            <w:left w:val="none" w:sz="0" w:space="0" w:color="auto"/>
                            <w:bottom w:val="none" w:sz="0" w:space="0" w:color="auto"/>
                            <w:right w:val="none" w:sz="0" w:space="0" w:color="auto"/>
                          </w:divBdr>
                        </w:div>
                        <w:div w:id="1762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aradigm.co/blog" TargetMode="External"/><Relationship Id="rId12" Type="http://schemas.openxmlformats.org/officeDocument/2006/relationships/hyperlink" Target="http://www.orbitmarkets.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28</cp:revision>
  <dcterms:created xsi:type="dcterms:W3CDTF">2023-04-14T09:31:00Z</dcterms:created>
  <dcterms:modified xsi:type="dcterms:W3CDTF">2023-04-17T03:18:00Z</dcterms:modified>
</cp:coreProperties>
</file>