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6327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left"/>
        <w:outlineLvl w:val="0"/>
        <w:rPr>
          <w:rFonts w:ascii="Times New Roman" w:eastAsia="宋体" w:hAnsi="Times New Roman" w:cs="Times New Roman"/>
          <w:b/>
          <w:bCs/>
          <w:color w:val="110B29"/>
          <w:kern w:val="36"/>
          <w:sz w:val="48"/>
          <w:szCs w:val="48"/>
        </w:rPr>
      </w:pPr>
      <w:r w:rsidRPr="00B1313F">
        <w:rPr>
          <w:rFonts w:ascii="Times New Roman" w:eastAsia="宋体" w:hAnsi="Times New Roman" w:cs="Times New Roman"/>
          <w:b/>
          <w:bCs/>
          <w:color w:val="110B29"/>
          <w:kern w:val="36"/>
          <w:sz w:val="48"/>
          <w:szCs w:val="48"/>
        </w:rPr>
        <w:t>Ethereum’s ERC-4337 Account Abstraction Smart Contract is Live</w:t>
      </w:r>
    </w:p>
    <w:p w14:paraId="591BA2F0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left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ERC-4337 will introduce a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new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mempool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for user operations</w:t>
      </w:r>
    </w:p>
    <w:p w14:paraId="1446ADE0" w14:textId="77777777" w:rsidR="00B1313F" w:rsidRPr="00B1313F" w:rsidRDefault="00B1313F" w:rsidP="00B1313F">
      <w:pPr>
        <w:widowControl/>
        <w:shd w:val="clear" w:color="auto" w:fill="FFFFFF"/>
        <w:jc w:val="left"/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  <w:t>BY</w:t>
      </w:r>
      <w:hyperlink r:id="rId6" w:history="1">
        <w:r w:rsidRPr="00B1313F">
          <w:rPr>
            <w:rFonts w:ascii="Segoe UI" w:eastAsia="宋体" w:hAnsi="Segoe UI" w:cs="Segoe UI"/>
            <w:caps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BESSIE LIU</w:t>
        </w:r>
      </w:hyperlink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  <w:bdr w:val="single" w:sz="2" w:space="0" w:color="E5E7EB" w:frame="1"/>
        </w:rPr>
        <w:t>/</w:t>
      </w:r>
    </w:p>
    <w:p w14:paraId="7689384C" w14:textId="77777777" w:rsidR="00B1313F" w:rsidRPr="00B1313F" w:rsidRDefault="00B1313F" w:rsidP="00B1313F">
      <w:pPr>
        <w:widowControl/>
        <w:shd w:val="clear" w:color="auto" w:fill="FFFFFF"/>
        <w:jc w:val="left"/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  <w:t xml:space="preserve">MARCH 2, </w:t>
      </w:r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  <w:highlight w:val="yellow"/>
        </w:rPr>
        <w:t>2023</w:t>
      </w:r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  <w:t xml:space="preserve"> 07:25 AM</w:t>
      </w:r>
    </w:p>
    <w:p w14:paraId="0941B838" w14:textId="1255F625" w:rsidR="00B1313F" w:rsidRPr="00B1313F" w:rsidRDefault="00B1313F" w:rsidP="00B1313F">
      <w:pPr>
        <w:widowControl/>
        <w:shd w:val="clear" w:color="auto" w:fill="FFFFFF"/>
        <w:jc w:val="left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noProof/>
          <w:color w:val="110B29"/>
          <w:kern w:val="0"/>
          <w:sz w:val="27"/>
          <w:szCs w:val="27"/>
        </w:rPr>
        <w:drawing>
          <wp:inline distT="0" distB="0" distL="0" distR="0" wp14:anchorId="259DD3B4" wp14:editId="43FCA598">
            <wp:extent cx="5274310" cy="2964815"/>
            <wp:effectExtent l="0" t="0" r="2540" b="6985"/>
            <wp:docPr id="954774078" name="图片 1" descr="article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cle-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F285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right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Shizume/Shutterstock.com modified by Blockworks</w:t>
      </w:r>
    </w:p>
    <w:p w14:paraId="2518984F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aps/>
          <w:color w:val="110B29"/>
          <w:kern w:val="0"/>
          <w:sz w:val="27"/>
          <w:szCs w:val="27"/>
        </w:rPr>
        <w:t>SHARE</w:t>
      </w:r>
    </w:p>
    <w:p w14:paraId="3B97C6D2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An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audited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version of the Ethereum Foundation’s ERC-4337 </w:t>
      </w:r>
      <w:commentRangeStart w:id="0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account abstraction standard</w:t>
      </w:r>
      <w:commentRangeEnd w:id="0"/>
      <w:r w:rsidR="004116F8">
        <w:rPr>
          <w:rStyle w:val="a9"/>
        </w:rPr>
        <w:commentReference w:id="0"/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is now available on Ethereum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mainnet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</w:t>
      </w:r>
    </w:p>
    <w:p w14:paraId="48B34200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The standard has been implemented through the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smart contract 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fldChar w:fldCharType="begin"/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instrText>HYPERLINK "https://etherscan.io/address/0x0576a174D229E3cFA37253523E645A78A0C91B57" \l "code" \t "_blank"</w:instrTex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fldChar w:fldCharType="separate"/>
      </w:r>
      <w:r w:rsidRPr="00B1313F">
        <w:rPr>
          <w:rFonts w:ascii="Segoe UI" w:eastAsia="宋体" w:hAnsi="Segoe UI" w:cs="Segoe UI"/>
          <w:color w:val="5637CD"/>
          <w:kern w:val="0"/>
          <w:sz w:val="27"/>
          <w:szCs w:val="27"/>
          <w:highlight w:val="yellow"/>
          <w:u w:val="single"/>
          <w:bdr w:val="none" w:sz="0" w:space="0" w:color="auto" w:frame="1"/>
        </w:rPr>
        <w:t>EntryPoint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fldChar w:fldCharType="end"/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, which has been running for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 few weeks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already — and is designed to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change how users interact with wallet services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</w:t>
      </w:r>
    </w:p>
    <w:p w14:paraId="1FF7E06E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lastRenderedPageBreak/>
        <w:t>Most of Ethereum’s existing wallets are externally owned accounts (EOA). The list, which makes up a majority of wallets now in the </w:t>
      </w:r>
      <w:hyperlink r:id="rId12" w:tgtFrame="_blank" w:history="1">
        <w:r w:rsidRPr="00B1313F">
          <w:rPr>
            <w:rFonts w:ascii="Segoe UI" w:eastAsia="宋体" w:hAnsi="Segoe UI" w:cs="Segoe UI"/>
            <w:color w:val="5637CD"/>
            <w:kern w:val="0"/>
            <w:sz w:val="27"/>
            <w:szCs w:val="27"/>
            <w:u w:val="single"/>
            <w:bdr w:val="none" w:sz="0" w:space="0" w:color="auto" w:frame="1"/>
          </w:rPr>
          <w:t>Ethereum</w:t>
        </w:r>
      </w:hyperlink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 ecosystem, includes providers like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MetaMask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and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imToken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 </w:t>
      </w:r>
    </w:p>
    <w:p w14:paraId="03699B0E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And it even extends to hardware wallets such as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Ledger Nano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, where only one key </w:t>
      </w:r>
      <w:proofErr w:type="gram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controls</w:t>
      </w:r>
      <w:proofErr w:type="gram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 account — meaning that if its key is compromised or lost, any tokens within the wallet would be, too.</w:t>
      </w:r>
    </w:p>
    <w:p w14:paraId="056E1951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With account abstraction, the idea would be to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make the account flexible to match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users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 needs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, according to Yoav Weiss, a security fellow at the Ethereum Foundation.</w:t>
      </w:r>
    </w:p>
    <w:p w14:paraId="6BCDF8DD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The foundation is a nonprofit dedicated to supporting the development of the Ethereum ecosystem, including its native token, ether (</w:t>
      </w:r>
      <w:hyperlink r:id="rId13" w:tgtFrame="_blank" w:history="1">
        <w:r w:rsidRPr="00B1313F">
          <w:rPr>
            <w:rFonts w:ascii="Segoe UI" w:eastAsia="宋体" w:hAnsi="Segoe UI" w:cs="Segoe UI"/>
            <w:color w:val="5637CD"/>
            <w:kern w:val="0"/>
            <w:sz w:val="27"/>
            <w:szCs w:val="27"/>
            <w:u w:val="single"/>
            <w:bdr w:val="none" w:sz="0" w:space="0" w:color="auto" w:frame="1"/>
          </w:rPr>
          <w:t>ETH</w:t>
        </w:r>
      </w:hyperlink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). </w:t>
      </w:r>
    </w:p>
    <w:p w14:paraId="57D11837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“For some users, this may simply mean getting the user experience of a bank — where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someone can always help recover your bank account even if you lose your password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,” Weiss, an author of the ERC-4337 </w:t>
      </w:r>
      <w:hyperlink r:id="rId14" w:tgtFrame="_blank" w:history="1">
        <w:r w:rsidRPr="00B1313F">
          <w:rPr>
            <w:rFonts w:ascii="Segoe UI" w:eastAsia="宋体" w:hAnsi="Segoe UI" w:cs="Segoe UI"/>
            <w:color w:val="5637CD"/>
            <w:kern w:val="0"/>
            <w:sz w:val="27"/>
            <w:szCs w:val="27"/>
            <w:u w:val="single"/>
            <w:bdr w:val="none" w:sz="0" w:space="0" w:color="auto" w:frame="1"/>
          </w:rPr>
          <w:t>proposal</w:t>
        </w:r>
      </w:hyperlink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, told Blockworks. “For more sophisticated users, it could mean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adding more controls or features to your account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.”</w:t>
      </w:r>
    </w:p>
    <w:p w14:paraId="0B9ADF68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An example? Adding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two-factor authentication to spend more than $5,000 dollars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, Weiss said. The measure also allows users to use the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lastRenderedPageBreak/>
        <w:t xml:space="preserve">cryptographic signature of their choosing, and it also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authorizes transactions securely through cell phones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</w:t>
      </w:r>
    </w:p>
    <w:p w14:paraId="4F79620F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Unlike EOAs, account abstraction enables users to use smart contract wallets with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arbitrary verification logic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 </w:t>
      </w:r>
    </w:p>
    <w:p w14:paraId="7EB3CC03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“So now, users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don’t need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to think about writing down 12 words on a piece of paper, but instead, they are able to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add and remove devices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and include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recovery options with a friend or a lawyer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,” Weiss said.</w:t>
      </w:r>
    </w:p>
    <w:p w14:paraId="52A684E0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480" w:after="240"/>
        <w:jc w:val="left"/>
        <w:outlineLvl w:val="1"/>
        <w:rPr>
          <w:rFonts w:ascii="Segoe UI" w:eastAsia="宋体" w:hAnsi="Segoe UI" w:cs="Segoe UI"/>
          <w:color w:val="110B29"/>
          <w:kern w:val="0"/>
          <w:sz w:val="36"/>
          <w:szCs w:val="36"/>
        </w:rPr>
      </w:pPr>
      <w:r w:rsidRPr="00B1313F">
        <w:rPr>
          <w:rFonts w:ascii="Segoe UI" w:eastAsia="宋体" w:hAnsi="Segoe UI" w:cs="Segoe UI"/>
          <w:color w:val="110B29"/>
          <w:kern w:val="0"/>
          <w:sz w:val="36"/>
          <w:szCs w:val="36"/>
          <w:highlight w:val="yellow"/>
        </w:rPr>
        <w:t>Implementing</w:t>
      </w:r>
      <w:r w:rsidRPr="00B1313F">
        <w:rPr>
          <w:rFonts w:ascii="Segoe UI" w:eastAsia="宋体" w:hAnsi="Segoe UI" w:cs="Segoe UI"/>
          <w:color w:val="110B29"/>
          <w:kern w:val="0"/>
          <w:sz w:val="36"/>
          <w:szCs w:val="36"/>
        </w:rPr>
        <w:t xml:space="preserve"> an ERC-4337 standard</w:t>
      </w:r>
    </w:p>
    <w:p w14:paraId="594473E5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Account abstraction has been in the works for over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nine years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 It’s been difficult to reach a consensus and change an entire protocol to support it. </w:t>
      </w:r>
    </w:p>
    <w:p w14:paraId="321EEEF6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“We needed to better understand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security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and better understand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usability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, but you can’t [take] action for something that requires a protocol change because there is no input, and that’s where ERC-4337 comes in,” Weiss said.</w:t>
      </w:r>
    </w:p>
    <w:p w14:paraId="67C213E1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ERC — short for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Ethereum request for comment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— is an opt-in standard that no one is obligated to use.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Instead of changing consensus rules, ERC ensures everyone agrees to a standard before they begin using it on-chain.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 </w:t>
      </w:r>
    </w:p>
    <w:p w14:paraId="1B8187A4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lastRenderedPageBreak/>
        <w:t>One prevalent example: the ERC-20 token standard. ERC-20 doesn’t alter Ethereum at its protocol level. But, because developers have agreed tokens should follow ERC-20 rules, it has set a standard.</w:t>
      </w:r>
    </w:p>
    <w:p w14:paraId="533D5D71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“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Having a standard creates an ecosystem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,” Weiss said. “And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what ERC-4337 does is it will create a standard for account abstraction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.”</w:t>
      </w:r>
    </w:p>
    <w:p w14:paraId="7436A119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Existing products such as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Gnosis Safe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and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Argent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have already implemented features such as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social recovery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. But in order to maintain them, they would have to connect to a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centralized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relayer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</w:t>
      </w:r>
    </w:p>
    <w:p w14:paraId="6ECF2F3F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If a centralized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relayer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 is attacked, users would not be able to access their accounts.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 </w:t>
      </w:r>
    </w:p>
    <w:p w14:paraId="1D5464C5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ERC-4337 will introduce a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new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mempool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for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user operations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 </w:t>
      </w:r>
    </w:p>
    <w:p w14:paraId="49AAAE29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This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mempool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is serviced by “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bundlers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” — similar to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validators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and miners — but on an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accounts function level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. So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rather than submitting a transaction, a user would submit a user operation to the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mempool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, and bundlers will take it from the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mempool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 and include it in blocks on Ethereum or any other EVM chain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, Weiss said. </w:t>
      </w:r>
    </w:p>
    <w:p w14:paraId="33E83782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One of the first protocols to comply with the ERC-4337 standard for bundlers is </w:t>
      </w:r>
      <w:commentRangeStart w:id="1"/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Stackup</w:t>
      </w:r>
      <w:commentRangeEnd w:id="1"/>
      <w:proofErr w:type="spellEnd"/>
      <w:r w:rsidR="00497A43">
        <w:rPr>
          <w:rStyle w:val="a9"/>
        </w:rPr>
        <w:commentReference w:id="1"/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.</w:t>
      </w:r>
    </w:p>
    <w:p w14:paraId="6EA63D2E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lastRenderedPageBreak/>
        <w:t xml:space="preserve">“We have a test for bundlers to make sure they are ready, and </w:t>
      </w:r>
      <w:proofErr w:type="spellStart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stackup</w:t>
      </w:r>
      <w:proofErr w:type="spellEnd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was one of the first ones to be ready,” Weiss said. </w:t>
      </w:r>
    </w:p>
    <w:p w14:paraId="7A860E6F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The company will allow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developers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to 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 xml:space="preserve">build customized Web3 transaction flows and </w:t>
      </w:r>
      <w:commentRangeStart w:id="2"/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  <w:highlight w:val="yellow"/>
        </w:rPr>
        <w:t>wallets</w:t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 xml:space="preserve"> </w:t>
      </w:r>
      <w:commentRangeEnd w:id="2"/>
      <w:r w:rsidR="00863E14">
        <w:rPr>
          <w:rStyle w:val="a9"/>
        </w:rPr>
        <w:commentReference w:id="2"/>
      </w: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using the latest ERC-4337 smart contract.</w:t>
      </w:r>
    </w:p>
    <w:p w14:paraId="03E4BAEE" w14:textId="77777777" w:rsidR="00B1313F" w:rsidRPr="00B1313F" w:rsidRDefault="00B1313F" w:rsidP="00B1313F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110B29"/>
          <w:kern w:val="0"/>
          <w:sz w:val="27"/>
          <w:szCs w:val="27"/>
        </w:rPr>
      </w:pPr>
      <w:r w:rsidRPr="00B1313F">
        <w:rPr>
          <w:rFonts w:ascii="Segoe UI" w:eastAsia="宋体" w:hAnsi="Segoe UI" w:cs="Segoe UI"/>
          <w:color w:val="110B29"/>
          <w:kern w:val="0"/>
          <w:sz w:val="27"/>
          <w:szCs w:val="27"/>
        </w:rPr>
        <w:t>“Developers won’t need to think about how each blockchain works, the wallet only needs to support ERC-4337, and it can be deployed and used on any EVM chain,” Weiss said.</w:t>
      </w:r>
    </w:p>
    <w:p w14:paraId="283B5470" w14:textId="77777777" w:rsidR="006B5749" w:rsidRDefault="006B5749"/>
    <w:p w14:paraId="3B64788A" w14:textId="56E9970B" w:rsidR="00881498" w:rsidRDefault="00881498">
      <w:hyperlink r:id="rId15" w:history="1">
        <w:r w:rsidRPr="00047C81">
          <w:rPr>
            <w:rStyle w:val="a7"/>
          </w:rPr>
          <w:t>https://blockworks.co/news/ethereum-erc4337-account-abstraction-smart-contract</w:t>
        </w:r>
      </w:hyperlink>
    </w:p>
    <w:p w14:paraId="2BA79278" w14:textId="77777777" w:rsidR="00881498" w:rsidRPr="00881498" w:rsidRDefault="00881498">
      <w:pPr>
        <w:rPr>
          <w:rFonts w:hint="eastAsia"/>
        </w:rPr>
      </w:pPr>
    </w:p>
    <w:sectPr w:rsidR="00881498" w:rsidRPr="0088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07T10:14:00Z" w:initials="科林">
    <w:p w14:paraId="4FA68466" w14:textId="77777777" w:rsidR="004116F8" w:rsidRDefault="004116F8" w:rsidP="00D7020F">
      <w:pPr>
        <w:pStyle w:val="aa"/>
      </w:pPr>
      <w:r>
        <w:rPr>
          <w:rStyle w:val="a9"/>
        </w:rPr>
        <w:annotationRef/>
      </w:r>
      <w:r>
        <w:t>指的是合约</w:t>
      </w:r>
    </w:p>
  </w:comment>
  <w:comment w:id="1" w:author="科 林" w:date="2023-09-07T10:34:00Z" w:initials="科林">
    <w:p w14:paraId="1E4A6544" w14:textId="77777777" w:rsidR="00497A43" w:rsidRDefault="00497A43" w:rsidP="00BF36B0">
      <w:pPr>
        <w:pStyle w:val="aa"/>
      </w:pPr>
      <w:r>
        <w:rPr>
          <w:rStyle w:val="a9"/>
        </w:rPr>
        <w:annotationRef/>
      </w:r>
      <w:r>
        <w:t>Stackup是bundler的具体实现</w:t>
      </w:r>
    </w:p>
  </w:comment>
  <w:comment w:id="2" w:author="科 林" w:date="2023-09-07T10:35:00Z" w:initials="科林">
    <w:p w14:paraId="3A06C887" w14:textId="77777777" w:rsidR="00863E14" w:rsidRDefault="00863E14">
      <w:pPr>
        <w:pStyle w:val="aa"/>
      </w:pPr>
      <w:r>
        <w:rPr>
          <w:rStyle w:val="a9"/>
        </w:rPr>
        <w:annotationRef/>
      </w:r>
      <w:r>
        <w:t>问题：</w:t>
      </w:r>
    </w:p>
    <w:p w14:paraId="540C97E7" w14:textId="77777777" w:rsidR="00863E14" w:rsidRDefault="00863E14" w:rsidP="00A50C9A">
      <w:pPr>
        <w:pStyle w:val="aa"/>
      </w:pPr>
      <w:r>
        <w:t>需要新开发钱包吗？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A68466" w15:done="0"/>
  <w15:commentEx w15:paraId="1E4A6544" w15:done="0"/>
  <w15:commentEx w15:paraId="540C97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42122" w16cex:dateUtc="2023-09-07T02:14:00Z"/>
  <w16cex:commentExtensible w16cex:durableId="28A4259B" w16cex:dateUtc="2023-09-07T02:34:00Z"/>
  <w16cex:commentExtensible w16cex:durableId="28A4260A" w16cex:dateUtc="2023-09-07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A68466" w16cid:durableId="28A42122"/>
  <w16cid:commentId w16cid:paraId="1E4A6544" w16cid:durableId="28A4259B"/>
  <w16cid:commentId w16cid:paraId="540C97E7" w16cid:durableId="28A426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B7D3" w14:textId="77777777" w:rsidR="00DD5D28" w:rsidRDefault="00DD5D28" w:rsidP="00B1313F">
      <w:r>
        <w:separator/>
      </w:r>
    </w:p>
  </w:endnote>
  <w:endnote w:type="continuationSeparator" w:id="0">
    <w:p w14:paraId="3643811D" w14:textId="77777777" w:rsidR="00DD5D28" w:rsidRDefault="00DD5D28" w:rsidP="00B1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612A" w14:textId="77777777" w:rsidR="00DD5D28" w:rsidRDefault="00DD5D28" w:rsidP="00B1313F">
      <w:r>
        <w:separator/>
      </w:r>
    </w:p>
  </w:footnote>
  <w:footnote w:type="continuationSeparator" w:id="0">
    <w:p w14:paraId="7849CD69" w14:textId="77777777" w:rsidR="00DD5D28" w:rsidRDefault="00DD5D28" w:rsidP="00B1313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C"/>
    <w:rsid w:val="00122954"/>
    <w:rsid w:val="0023688C"/>
    <w:rsid w:val="00276EA2"/>
    <w:rsid w:val="0030751E"/>
    <w:rsid w:val="00330079"/>
    <w:rsid w:val="004116F8"/>
    <w:rsid w:val="00497A43"/>
    <w:rsid w:val="004F6207"/>
    <w:rsid w:val="005350D5"/>
    <w:rsid w:val="0055057C"/>
    <w:rsid w:val="006B5749"/>
    <w:rsid w:val="006F08E8"/>
    <w:rsid w:val="007C064E"/>
    <w:rsid w:val="00863E14"/>
    <w:rsid w:val="00881498"/>
    <w:rsid w:val="00956092"/>
    <w:rsid w:val="00B1313F"/>
    <w:rsid w:val="00BB3221"/>
    <w:rsid w:val="00DD5D28"/>
    <w:rsid w:val="00F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1EDE"/>
  <w15:chartTrackingRefBased/>
  <w15:docId w15:val="{C36788E7-2F47-433F-B9A1-44B7CEE9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31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3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1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1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31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31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lex-grow-0">
    <w:name w:val="flex-grow-0"/>
    <w:basedOn w:val="a"/>
    <w:rsid w:val="00B13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1313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13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2">
    <w:name w:val="mb-2"/>
    <w:basedOn w:val="a"/>
    <w:rsid w:val="00B13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4116F8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4116F8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4116F8"/>
  </w:style>
  <w:style w:type="paragraph" w:styleId="ac">
    <w:name w:val="annotation subject"/>
    <w:basedOn w:val="aa"/>
    <w:next w:val="aa"/>
    <w:link w:val="ad"/>
    <w:uiPriority w:val="99"/>
    <w:semiHidden/>
    <w:unhideWhenUsed/>
    <w:rsid w:val="004116F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116F8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881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4523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396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595063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5882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20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17798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615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8837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906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97333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475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ckworks.co/price/et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blockworks.co/tag/ethereum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ckworks.co/author/bessieliu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hyperlink" Target="https://blockworks.co/news/ethereum-erc4337-account-abstraction-smart-contract" TargetMode="Externa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yperlink" Target="https://eips.ethereum.org/EIPS/eip-43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34</cp:revision>
  <dcterms:created xsi:type="dcterms:W3CDTF">2023-09-07T02:13:00Z</dcterms:created>
  <dcterms:modified xsi:type="dcterms:W3CDTF">2023-09-07T02:36:00Z</dcterms:modified>
</cp:coreProperties>
</file>