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EAF3" w14:textId="77777777" w:rsidR="00F45838" w:rsidRPr="00F45838" w:rsidRDefault="00F45838" w:rsidP="00F45838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jc w:val="left"/>
        <w:outlineLvl w:val="0"/>
        <w:rPr>
          <w:rFonts w:ascii="Playfair Display" w:eastAsia="宋体" w:hAnsi="Playfair Display" w:cs="宋体"/>
          <w:b/>
          <w:bCs/>
          <w:kern w:val="36"/>
          <w:sz w:val="48"/>
          <w:szCs w:val="48"/>
        </w:rPr>
      </w:pPr>
      <w:commentRangeStart w:id="0"/>
      <w:r w:rsidRPr="00F45838">
        <w:rPr>
          <w:rFonts w:ascii="Playfair Display" w:eastAsia="宋体" w:hAnsi="Playfair Display" w:cs="宋体"/>
          <w:b/>
          <w:bCs/>
          <w:kern w:val="36"/>
          <w:sz w:val="48"/>
          <w:szCs w:val="48"/>
          <w:highlight w:val="yellow"/>
        </w:rPr>
        <w:t>Safe</w:t>
      </w:r>
      <w:r w:rsidRPr="00F45838">
        <w:rPr>
          <w:rFonts w:ascii="Playfair Display" w:eastAsia="宋体" w:hAnsi="Playfair Display" w:cs="宋体"/>
          <w:b/>
          <w:bCs/>
          <w:kern w:val="36"/>
          <w:sz w:val="48"/>
          <w:szCs w:val="48"/>
        </w:rPr>
        <w:t xml:space="preserve"> </w:t>
      </w:r>
      <w:commentRangeEnd w:id="0"/>
      <w:r>
        <w:rPr>
          <w:rStyle w:val="a8"/>
        </w:rPr>
        <w:commentReference w:id="0"/>
      </w:r>
      <w:r w:rsidRPr="00F45838">
        <w:rPr>
          <w:rFonts w:ascii="Playfair Display" w:eastAsia="宋体" w:hAnsi="Playfair Display" w:cs="宋体"/>
          <w:b/>
          <w:bCs/>
          <w:kern w:val="36"/>
          <w:sz w:val="48"/>
          <w:szCs w:val="48"/>
        </w:rPr>
        <w:t xml:space="preserve">Adds </w:t>
      </w:r>
      <w:r w:rsidRPr="00F45838">
        <w:rPr>
          <w:rFonts w:ascii="Playfair Display" w:eastAsia="宋体" w:hAnsi="Playfair Display" w:cs="宋体"/>
          <w:b/>
          <w:bCs/>
          <w:kern w:val="36"/>
          <w:sz w:val="48"/>
          <w:szCs w:val="48"/>
          <w:highlight w:val="yellow"/>
        </w:rPr>
        <w:t>ERC-4337 Compatibility</w:t>
      </w:r>
      <w:r w:rsidRPr="00F45838">
        <w:rPr>
          <w:rFonts w:ascii="Playfair Display" w:eastAsia="宋体" w:hAnsi="Playfair Display" w:cs="宋体"/>
          <w:b/>
          <w:bCs/>
          <w:kern w:val="36"/>
          <w:sz w:val="48"/>
          <w:szCs w:val="48"/>
        </w:rPr>
        <w:t xml:space="preserve"> in Account Abstraction Push</w:t>
      </w:r>
    </w:p>
    <w:p w14:paraId="63E448E3" w14:textId="77777777" w:rsidR="00F45838" w:rsidRPr="00F45838" w:rsidRDefault="00F45838" w:rsidP="00F45838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宋体"/>
          <w:kern w:val="0"/>
          <w:sz w:val="36"/>
          <w:szCs w:val="36"/>
        </w:rPr>
      </w:pPr>
      <w:r w:rsidRPr="00F45838">
        <w:rPr>
          <w:rFonts w:ascii="Helvetica" w:eastAsia="宋体" w:hAnsi="Helvetica" w:cs="宋体"/>
          <w:kern w:val="0"/>
          <w:sz w:val="36"/>
          <w:szCs w:val="36"/>
        </w:rPr>
        <w:t>ERC-4337 is named simply the "</w:t>
      </w:r>
      <w:r w:rsidRPr="00F45838">
        <w:rPr>
          <w:rFonts w:ascii="Helvetica" w:eastAsia="宋体" w:hAnsi="Helvetica" w:cs="宋体"/>
          <w:kern w:val="0"/>
          <w:sz w:val="36"/>
          <w:szCs w:val="36"/>
          <w:highlight w:val="yellow"/>
        </w:rPr>
        <w:t>first starting stone</w:t>
      </w:r>
      <w:r w:rsidRPr="00F45838">
        <w:rPr>
          <w:rFonts w:ascii="Helvetica" w:eastAsia="宋体" w:hAnsi="Helvetica" w:cs="宋体"/>
          <w:kern w:val="0"/>
          <w:sz w:val="36"/>
          <w:szCs w:val="36"/>
        </w:rPr>
        <w:t>" in a wider move towards account abstraction, by Safe co-founder Richard Meissner.</w:t>
      </w:r>
    </w:p>
    <w:p w14:paraId="47CD19C9" w14:textId="77777777" w:rsidR="00F45838" w:rsidRPr="00F45838" w:rsidRDefault="00F45838" w:rsidP="00F45838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  <w:bdr w:val="single" w:sz="2" w:space="0" w:color="E5E7EB" w:frame="1"/>
        </w:rPr>
      </w:pPr>
      <w:r w:rsidRPr="00F458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45838">
        <w:rPr>
          <w:rFonts w:ascii="宋体" w:eastAsia="宋体" w:hAnsi="宋体" w:cs="宋体"/>
          <w:kern w:val="0"/>
          <w:sz w:val="24"/>
          <w:szCs w:val="24"/>
        </w:rPr>
        <w:instrText>HYPERLINK "https://decrypt.co/author/ryan-gladwin"</w:instrText>
      </w:r>
      <w:r w:rsidRPr="00F45838">
        <w:rPr>
          <w:rFonts w:ascii="宋体" w:eastAsia="宋体" w:hAnsi="宋体" w:cs="宋体"/>
          <w:kern w:val="0"/>
          <w:sz w:val="24"/>
          <w:szCs w:val="24"/>
        </w:rPr>
      </w:r>
      <w:r w:rsidRPr="00F458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14:paraId="22630E63" w14:textId="0F7D183F" w:rsidR="00F45838" w:rsidRPr="00F45838" w:rsidRDefault="00F45838" w:rsidP="00F458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838">
        <w:rPr>
          <w:rFonts w:ascii="宋体" w:eastAsia="宋体" w:hAnsi="宋体" w:cs="宋体"/>
          <w:noProof/>
          <w:color w:val="0000FF"/>
          <w:kern w:val="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7D40B695" wp14:editId="7C20C045">
                <wp:extent cx="304800" cy="304800"/>
                <wp:effectExtent l="0" t="0" r="0" b="0"/>
                <wp:docPr id="473582179" name="矩形 4" descr="Ryan S. Gladw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23EB7B" id="矩形 4" o:spid="_x0000_s1026" alt="Ryan S. Gladwi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2BA1B0" w14:textId="77777777" w:rsidR="00F45838" w:rsidRPr="00F45838" w:rsidRDefault="00F45838" w:rsidP="00F458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8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DE6BFD8" w14:textId="77777777" w:rsidR="00F45838" w:rsidRPr="00F45838" w:rsidRDefault="00F45838" w:rsidP="00F458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838">
        <w:rPr>
          <w:rFonts w:ascii="Helvetica" w:eastAsia="宋体" w:hAnsi="Helvetica" w:cs="宋体"/>
          <w:kern w:val="0"/>
          <w:sz w:val="24"/>
          <w:szCs w:val="24"/>
          <w:bdr w:val="single" w:sz="2" w:space="0" w:color="E5E7EB" w:frame="1"/>
        </w:rPr>
        <w:t>By </w:t>
      </w:r>
      <w:hyperlink r:id="rId10" w:history="1">
        <w:r w:rsidRPr="00F45838">
          <w:rPr>
            <w:rFonts w:ascii="Helvetica" w:eastAsia="宋体" w:hAnsi="Helvetica" w:cs="宋体"/>
            <w:color w:val="0000FF"/>
            <w:kern w:val="0"/>
            <w:sz w:val="24"/>
            <w:szCs w:val="24"/>
            <w:u w:val="single"/>
            <w:bdr w:val="single" w:sz="2" w:space="0" w:color="E5E7EB" w:frame="1"/>
          </w:rPr>
          <w:t>Ryan S. Gladwin</w:t>
        </w:r>
      </w:hyperlink>
    </w:p>
    <w:p w14:paraId="385A9251" w14:textId="77777777" w:rsidR="00F45838" w:rsidRPr="00F45838" w:rsidRDefault="00F45838" w:rsidP="00F458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838">
        <w:rPr>
          <w:rFonts w:ascii="Helvetica" w:eastAsia="宋体" w:hAnsi="Helvetica" w:cs="宋体"/>
          <w:kern w:val="0"/>
          <w:sz w:val="24"/>
          <w:szCs w:val="24"/>
          <w:bdr w:val="single" w:sz="2" w:space="0" w:color="E5E7EB" w:frame="1"/>
        </w:rPr>
        <w:t xml:space="preserve">Jul 13, </w:t>
      </w:r>
      <w:r w:rsidRPr="00F45838">
        <w:rPr>
          <w:rFonts w:ascii="Helvetica" w:eastAsia="宋体" w:hAnsi="Helvetica" w:cs="宋体"/>
          <w:kern w:val="0"/>
          <w:sz w:val="24"/>
          <w:szCs w:val="24"/>
          <w:highlight w:val="yellow"/>
          <w:bdr w:val="single" w:sz="2" w:space="0" w:color="E5E7EB" w:frame="1"/>
        </w:rPr>
        <w:t>2023</w:t>
      </w:r>
    </w:p>
    <w:p w14:paraId="05AC06E5" w14:textId="77777777" w:rsidR="00F45838" w:rsidRPr="00F45838" w:rsidRDefault="00F45838" w:rsidP="00F458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838">
        <w:rPr>
          <w:rFonts w:ascii="Helvetica" w:eastAsia="宋体" w:hAnsi="Helvetica" w:cs="宋体"/>
          <w:kern w:val="0"/>
          <w:sz w:val="24"/>
          <w:szCs w:val="24"/>
          <w:bdr w:val="single" w:sz="2" w:space="0" w:color="E5E7EB" w:frame="1"/>
        </w:rPr>
        <w:t>3 min read</w:t>
      </w:r>
    </w:p>
    <w:p w14:paraId="33912E06" w14:textId="72049799" w:rsidR="00F45838" w:rsidRPr="00F45838" w:rsidRDefault="00F45838" w:rsidP="00F458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838">
        <w:rPr>
          <w:rFonts w:ascii="宋体" w:eastAsia="宋体" w:hAnsi="宋体" w:cs="宋体"/>
          <w:noProof/>
          <w:kern w:val="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36A97541" wp14:editId="0BD7D49F">
                <wp:extent cx="304800" cy="304800"/>
                <wp:effectExtent l="0" t="0" r="0" b="0"/>
                <wp:docPr id="1604819369" name="矩形 3" descr="Image: Shuttersto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D88CD" id="矩形 3" o:spid="_x0000_s1026" alt="Image: Shutterstoc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9F63CF" w14:textId="77777777" w:rsidR="00F45838" w:rsidRPr="00F45838" w:rsidRDefault="00F45838" w:rsidP="00F458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5838">
        <w:rPr>
          <w:rFonts w:ascii="宋体" w:eastAsia="宋体" w:hAnsi="宋体" w:cs="宋体"/>
          <w:kern w:val="0"/>
          <w:sz w:val="24"/>
          <w:szCs w:val="24"/>
        </w:rPr>
        <w:t>Image: Shutterstock</w:t>
      </w:r>
    </w:p>
    <w:p w14:paraId="74C4EEE9" w14:textId="77777777" w:rsidR="00F45838" w:rsidRPr="00F45838" w:rsidRDefault="00F45838" w:rsidP="00F45838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</w:pP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Smart wallet provider Safe is adding ERC-4337 compatibility through </w:t>
      </w:r>
      <w:proofErr w:type="gramStart"/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its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”Safe</w:t>
      </w:r>
      <w:proofErr w:type="gramEnd"/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 xml:space="preserve"> Module” plugin system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.</w:t>
      </w:r>
    </w:p>
    <w:p w14:paraId="3D2D5093" w14:textId="2A7E2F6D" w:rsidR="00F45838" w:rsidRPr="00F45838" w:rsidRDefault="00F45838" w:rsidP="00F45838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 w:hint="eastAsia"/>
          <w:color w:val="000000"/>
          <w:spacing w:val="2"/>
          <w:kern w:val="0"/>
          <w:sz w:val="29"/>
          <w:szCs w:val="29"/>
        </w:rPr>
      </w:pP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ERC-4337 is the </w:t>
      </w:r>
      <w:hyperlink r:id="rId11" w:tgtFrame="_blank" w:history="1">
        <w:r w:rsidRPr="00F45838">
          <w:rPr>
            <w:rFonts w:ascii="Georgia" w:eastAsia="宋体" w:hAnsi="Georgia" w:cs="宋体"/>
            <w:color w:val="0000FF"/>
            <w:spacing w:val="2"/>
            <w:kern w:val="0"/>
            <w:sz w:val="29"/>
            <w:szCs w:val="29"/>
            <w:u w:val="single"/>
            <w:bdr w:val="single" w:sz="2" w:space="0" w:color="E5E7EB" w:frame="1"/>
          </w:rPr>
          <w:t>Ethereum</w:t>
        </w:r>
      </w:hyperlink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 standard that outlines one possible way that account abstraction can be enabled for a crypto wallet.</w:t>
      </w:r>
    </w:p>
    <w:p w14:paraId="0E78FCDC" w14:textId="77777777" w:rsidR="00F45838" w:rsidRPr="00F45838" w:rsidRDefault="00F45838" w:rsidP="00F45838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</w:pP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Account abstraction is the broader term for turning your wallet into a “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smart contract wallet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," rather than simply a public and private key pair, granting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new functionality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 like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gasless transactions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,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batch transactions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, and </w:t>
      </w:r>
      <w:hyperlink r:id="rId12" w:tgtFrame="_blank" w:history="1">
        <w:r w:rsidRPr="00F45838">
          <w:rPr>
            <w:rFonts w:ascii="Georgia" w:eastAsia="宋体" w:hAnsi="Georgia" w:cs="宋体"/>
            <w:color w:val="0000FF"/>
            <w:spacing w:val="2"/>
            <w:kern w:val="0"/>
            <w:sz w:val="29"/>
            <w:szCs w:val="29"/>
            <w:highlight w:val="yellow"/>
            <w:u w:val="single"/>
            <w:bdr w:val="single" w:sz="2" w:space="0" w:color="E5E7EB" w:frame="1"/>
          </w:rPr>
          <w:t>social recovery</w:t>
        </w:r>
      </w:hyperlink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.</w:t>
      </w:r>
    </w:p>
    <w:p w14:paraId="52893526" w14:textId="77777777" w:rsidR="00F45838" w:rsidRPr="00F45838" w:rsidRDefault="00F45838" w:rsidP="00F45838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</w:pP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lastRenderedPageBreak/>
        <w:t xml:space="preserve">"Account abstraction is about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fee payment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,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replay protection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, and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signature validation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. But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4337 only really tackles fee payment stuff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," </w:t>
      </w:r>
      <w:hyperlink r:id="rId13" w:tgtFrame="_blank" w:history="1">
        <w:r w:rsidRPr="00F45838">
          <w:rPr>
            <w:rFonts w:ascii="Georgia" w:eastAsia="宋体" w:hAnsi="Georgia" w:cs="宋体"/>
            <w:color w:val="0000FF"/>
            <w:spacing w:val="2"/>
            <w:kern w:val="0"/>
            <w:sz w:val="29"/>
            <w:szCs w:val="29"/>
            <w:u w:val="single"/>
            <w:bdr w:val="single" w:sz="2" w:space="0" w:color="E5E7EB" w:frame="1"/>
          </w:rPr>
          <w:t>Richard Meissner</w:t>
        </w:r>
      </w:hyperlink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, Co-Founder and Technical lead at Safe, told Decrypt. "If you want to use 4337 for this fee payment stuff, then you need a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Safe Module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 to use it."</w:t>
      </w:r>
    </w:p>
    <w:p w14:paraId="74C8D99A" w14:textId="77777777" w:rsidR="00F45838" w:rsidRPr="00F45838" w:rsidRDefault="00F45838" w:rsidP="00F45838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</w:pP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ERC-4337 functions as a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 xml:space="preserve">transaction </w:t>
      </w:r>
      <w:proofErr w:type="spellStart"/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relayer</w:t>
      </w:r>
      <w:proofErr w:type="spellEnd"/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 for smart contracts, offering an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off-chain transaction pool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 for organizing transactions before relaying them to the blockchain. This unlocks the capability of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gasless transactions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, adding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spending limits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, and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recurring payments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.</w:t>
      </w:r>
    </w:p>
    <w:p w14:paraId="5F37BB5F" w14:textId="2C399823" w:rsidR="00F45838" w:rsidRPr="00F45838" w:rsidRDefault="00F45838" w:rsidP="00F4583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1C1469" w14:textId="77777777" w:rsidR="00F45838" w:rsidRPr="00F45838" w:rsidRDefault="00F45838" w:rsidP="00F45838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</w:pP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Still, Meissner called the standard "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restrictive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" only it only really addresses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fee payment issues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—not fully unlocking the capabilities of account abstraction.</w:t>
      </w:r>
    </w:p>
    <w:p w14:paraId="6847E55F" w14:textId="77777777" w:rsidR="00F45838" w:rsidRPr="00F45838" w:rsidRDefault="00F45838" w:rsidP="00F45838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</w:pP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"It's something that brought a lot of visibility, that got the community engaged together and we can now have more impact," Meissner explained. "Before it was like: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Safe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 and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Argent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 they want to be considered smart contract wallets. But now, </w:t>
      </w:r>
      <w:hyperlink r:id="rId14" w:tgtFrame="_blank" w:history="1">
        <w:r w:rsidRPr="00F45838">
          <w:rPr>
            <w:rFonts w:ascii="Georgia" w:eastAsia="宋体" w:hAnsi="Georgia" w:cs="宋体"/>
            <w:color w:val="0000FF"/>
            <w:spacing w:val="2"/>
            <w:kern w:val="0"/>
            <w:sz w:val="29"/>
            <w:szCs w:val="29"/>
            <w:highlight w:val="yellow"/>
            <w:u w:val="single"/>
            <w:bdr w:val="single" w:sz="2" w:space="0" w:color="E5E7EB" w:frame="1"/>
          </w:rPr>
          <w:t>Vitalik</w:t>
        </w:r>
        <w:r w:rsidRPr="00F45838">
          <w:rPr>
            <w:rFonts w:ascii="Georgia" w:eastAsia="宋体" w:hAnsi="Georgia" w:cs="宋体"/>
            <w:color w:val="0000FF"/>
            <w:spacing w:val="2"/>
            <w:kern w:val="0"/>
            <w:sz w:val="29"/>
            <w:szCs w:val="29"/>
            <w:u w:val="single"/>
            <w:bdr w:val="single" w:sz="2" w:space="0" w:color="E5E7EB" w:frame="1"/>
          </w:rPr>
          <w:t xml:space="preserve"> is putting his name to it</w:t>
        </w:r>
      </w:hyperlink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. And, a lot of other ecosystem players—like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Alchemy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—are putting their name on it. Now we are a bigger team standing behind this narrative"</w:t>
      </w:r>
    </w:p>
    <w:p w14:paraId="293756A3" w14:textId="77777777" w:rsidR="00F45838" w:rsidRPr="00F45838" w:rsidRDefault="00F45838" w:rsidP="00F45838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</w:pP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lastRenderedPageBreak/>
        <w:t xml:space="preserve">If account abstraction was a marathon, ERC-4337 is simply the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first step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.</w:t>
      </w:r>
    </w:p>
    <w:p w14:paraId="4B037EFC" w14:textId="430373CE" w:rsidR="00F45838" w:rsidRPr="00F45838" w:rsidRDefault="00F45838" w:rsidP="00F45838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 w:val="29"/>
          <w:szCs w:val="29"/>
        </w:rPr>
      </w:pPr>
    </w:p>
    <w:p w14:paraId="602B663B" w14:textId="77777777" w:rsidR="00F45838" w:rsidRPr="00F45838" w:rsidRDefault="00F45838" w:rsidP="00F45838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</w:pP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"4337 was really the trigger for [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industry recognition of account abstraction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] and I think this is what it will be remembered for," Meissner said. "But, when it comes to the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actual implementation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, I think this is just the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very first starting stone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—it is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by no means complete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. I believe way bigger milestones will be coming up, even in the near future."</w:t>
      </w:r>
    </w:p>
    <w:p w14:paraId="204203FF" w14:textId="77777777" w:rsidR="00F45838" w:rsidRPr="00F45838" w:rsidRDefault="00F45838" w:rsidP="00F45838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45838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14:paraId="1FA00310" w14:textId="77777777" w:rsidR="00F45838" w:rsidRPr="00F45838" w:rsidRDefault="00F45838" w:rsidP="00F45838">
      <w:pPr>
        <w:widowControl/>
        <w:pBdr>
          <w:top w:val="single" w:sz="2" w:space="0" w:color="E5E7EB"/>
          <w:left w:val="single" w:sz="2" w:space="0" w:color="E5E7EB"/>
          <w:bottom w:val="single" w:sz="6" w:space="12" w:color="DFE2E4"/>
          <w:right w:val="single" w:sz="2" w:space="0" w:color="E5E7EB"/>
        </w:pBdr>
        <w:shd w:val="clear" w:color="auto" w:fill="FFFFFF"/>
        <w:spacing w:before="480" w:after="240" w:line="306" w:lineRule="atLeast"/>
        <w:jc w:val="left"/>
        <w:outlineLvl w:val="1"/>
        <w:rPr>
          <w:rFonts w:ascii="var(--font-akzidenz-grotesk)" w:eastAsia="宋体" w:hAnsi="var(--font-akzidenz-grotesk)" w:cs="宋体"/>
          <w:b/>
          <w:bCs/>
          <w:color w:val="333333"/>
          <w:kern w:val="0"/>
          <w:sz w:val="32"/>
          <w:szCs w:val="32"/>
        </w:rPr>
      </w:pPr>
      <w:r w:rsidRPr="00F45838">
        <w:rPr>
          <w:rFonts w:ascii="var(--font-akzidenz-grotesk)" w:eastAsia="宋体" w:hAnsi="var(--font-akzidenz-grotesk)" w:cs="宋体"/>
          <w:b/>
          <w:bCs/>
          <w:color w:val="333333"/>
          <w:kern w:val="0"/>
          <w:sz w:val="32"/>
          <w:szCs w:val="32"/>
        </w:rPr>
        <w:t xml:space="preserve">How can Safe users </w:t>
      </w:r>
      <w:r w:rsidRPr="00F45838">
        <w:rPr>
          <w:rFonts w:ascii="var(--font-akzidenz-grotesk)" w:eastAsia="宋体" w:hAnsi="var(--font-akzidenz-grotesk)" w:cs="宋体"/>
          <w:b/>
          <w:bCs/>
          <w:color w:val="333333"/>
          <w:kern w:val="0"/>
          <w:sz w:val="32"/>
          <w:szCs w:val="32"/>
          <w:highlight w:val="yellow"/>
        </w:rPr>
        <w:t>implement</w:t>
      </w:r>
      <w:r w:rsidRPr="00F45838">
        <w:rPr>
          <w:rFonts w:ascii="var(--font-akzidenz-grotesk)" w:eastAsia="宋体" w:hAnsi="var(--font-akzidenz-grotesk)" w:cs="宋体"/>
          <w:b/>
          <w:bCs/>
          <w:color w:val="333333"/>
          <w:kern w:val="0"/>
          <w:sz w:val="32"/>
          <w:szCs w:val="32"/>
        </w:rPr>
        <w:t xml:space="preserve"> 4337?</w:t>
      </w:r>
    </w:p>
    <w:p w14:paraId="58A243D8" w14:textId="77777777" w:rsidR="00F45838" w:rsidRPr="00F45838" w:rsidRDefault="00F45838" w:rsidP="00F45838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</w:pP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To implement ERC-4337 into their Safe wallet, </w:t>
      </w:r>
      <w:commentRangeStart w:id="1"/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users </w:t>
      </w:r>
      <w:commentRangeEnd w:id="1"/>
      <w:r w:rsidR="00204CD3">
        <w:rPr>
          <w:rStyle w:val="a8"/>
        </w:rPr>
        <w:commentReference w:id="1"/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will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create a Safe Module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 and then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 xml:space="preserve">add 4337 </w:t>
      </w:r>
      <w:proofErr w:type="gramStart"/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functionality</w:t>
      </w:r>
      <w:proofErr w:type="gramEnd"/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.</w:t>
      </w:r>
    </w:p>
    <w:p w14:paraId="641196CC" w14:textId="77777777" w:rsidR="00F45838" w:rsidRPr="00F45838" w:rsidRDefault="00F45838" w:rsidP="00F45838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</w:pP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"With this new version, you can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write plugins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 that take advantage of 4337," Meissner explained. "This is where compatibility opens up for our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developer ecosystem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. They can suddenly build on top of their Safe [...] and they just have to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write minimal code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 for the plug-in."</w:t>
      </w:r>
    </w:p>
    <w:p w14:paraId="11D30E71" w14:textId="77777777" w:rsidR="00F45838" w:rsidRPr="00F45838" w:rsidRDefault="00F45838" w:rsidP="00F45838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</w:pP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lastRenderedPageBreak/>
        <w:t xml:space="preserve">Due to the nature of this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modular system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, users can implement 4337 into their Safe wallet and easily remove the module, if they no longer want it.</w:t>
      </w:r>
    </w:p>
    <w:p w14:paraId="3AE1B632" w14:textId="1AE13236" w:rsidR="00F45838" w:rsidRPr="00F45838" w:rsidRDefault="00F45838" w:rsidP="00F4583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178298" w14:textId="77777777" w:rsidR="00F45838" w:rsidRPr="00F45838" w:rsidRDefault="00F45838" w:rsidP="00F45838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</w:pP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"You are able to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switch it on and off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, and you retain the core properties of the Safe," </w:t>
      </w:r>
      <w:hyperlink r:id="rId15" w:tgtFrame="_blank" w:history="1">
        <w:r w:rsidRPr="00F45838">
          <w:rPr>
            <w:rFonts w:ascii="Georgia" w:eastAsia="宋体" w:hAnsi="Georgia" w:cs="宋体"/>
            <w:color w:val="0000FF"/>
            <w:spacing w:val="2"/>
            <w:kern w:val="0"/>
            <w:sz w:val="29"/>
            <w:szCs w:val="29"/>
            <w:u w:val="single"/>
            <w:bdr w:val="single" w:sz="2" w:space="0" w:color="E5E7EB" w:frame="1"/>
          </w:rPr>
          <w:t>Anirudh Chohan</w:t>
        </w:r>
      </w:hyperlink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, Brand Lead at Safe, told Decrypt. "Our stack goes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beyond 4337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. There's an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authentication kit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 where you can enable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social login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. You can also </w:t>
      </w:r>
      <w:commentRangeStart w:id="2"/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on-ramp</w:t>
      </w:r>
      <w:commentRangeEnd w:id="2"/>
      <w:r w:rsidR="00104A9D">
        <w:rPr>
          <w:rStyle w:val="a8"/>
        </w:rPr>
        <w:commentReference w:id="2"/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 which we also think is very much an account abstraction subject"</w:t>
      </w:r>
    </w:p>
    <w:p w14:paraId="20F9C050" w14:textId="77777777" w:rsidR="00F45838" w:rsidRPr="00F45838" w:rsidRDefault="00F45838" w:rsidP="00F45838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left"/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</w:pP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As an Ethereum standard, 4337 is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currently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 only compatible with the Ethereum </w:t>
      </w:r>
      <w:proofErr w:type="spellStart"/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mainnet</w:t>
      </w:r>
      <w:proofErr w:type="spellEnd"/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 and Ethereum virtual machine compatible chains such as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Polygon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, </w:t>
      </w:r>
      <w:proofErr w:type="spellStart"/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Arbitrum</w:t>
      </w:r>
      <w:proofErr w:type="spellEnd"/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 xml:space="preserve">, and 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  <w:highlight w:val="yellow"/>
        </w:rPr>
        <w:t>Gnosis Chain</w:t>
      </w:r>
      <w:r w:rsidRPr="00F45838">
        <w:rPr>
          <w:rFonts w:ascii="Georgia" w:eastAsia="宋体" w:hAnsi="Georgia" w:cs="宋体"/>
          <w:color w:val="000000"/>
          <w:spacing w:val="2"/>
          <w:kern w:val="0"/>
          <w:sz w:val="29"/>
          <w:szCs w:val="29"/>
        </w:rPr>
        <w:t>.</w:t>
      </w:r>
    </w:p>
    <w:p w14:paraId="0180EDB9" w14:textId="77777777" w:rsidR="006B5749" w:rsidRDefault="006B5749"/>
    <w:p w14:paraId="5F2C3145" w14:textId="59928680" w:rsidR="002D5401" w:rsidRDefault="002D5401">
      <w:hyperlink r:id="rId16" w:history="1">
        <w:r w:rsidRPr="00047C81">
          <w:rPr>
            <w:rStyle w:val="a7"/>
          </w:rPr>
          <w:t>https://decrypt.co/148430/safe-adds-smart-wallet-compatibility-account-abstraction-push</w:t>
        </w:r>
      </w:hyperlink>
    </w:p>
    <w:p w14:paraId="2B76EF83" w14:textId="77777777" w:rsidR="002D5401" w:rsidRPr="002D5401" w:rsidRDefault="002D5401">
      <w:pPr>
        <w:rPr>
          <w:rFonts w:hint="eastAsia"/>
        </w:rPr>
      </w:pPr>
    </w:p>
    <w:sectPr w:rsidR="002D5401" w:rsidRPr="002D5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09-07T09:54:00Z" w:initials="科林">
    <w:p w14:paraId="728BAA95" w14:textId="77777777" w:rsidR="00F45838" w:rsidRDefault="00F45838" w:rsidP="00532A30">
      <w:pPr>
        <w:pStyle w:val="a9"/>
      </w:pPr>
      <w:r>
        <w:rPr>
          <w:rStyle w:val="a8"/>
        </w:rPr>
        <w:annotationRef/>
      </w:r>
      <w:r>
        <w:t>著名的多签钱包</w:t>
      </w:r>
    </w:p>
  </w:comment>
  <w:comment w:id="1" w:author="科 林" w:date="2023-09-07T10:09:00Z" w:initials="科林">
    <w:p w14:paraId="014A0D4C" w14:textId="77777777" w:rsidR="00204CD3" w:rsidRDefault="00204CD3">
      <w:pPr>
        <w:pStyle w:val="a9"/>
      </w:pPr>
      <w:r>
        <w:rPr>
          <w:rStyle w:val="a8"/>
        </w:rPr>
        <w:annotationRef/>
      </w:r>
      <w:r>
        <w:t>总结：</w:t>
      </w:r>
    </w:p>
    <w:p w14:paraId="10ECDBB4" w14:textId="77777777" w:rsidR="00204CD3" w:rsidRDefault="00204CD3">
      <w:pPr>
        <w:pStyle w:val="a9"/>
      </w:pPr>
      <w:r>
        <w:t>Safe的用户如果要用4337的功能，需要：</w:t>
      </w:r>
    </w:p>
    <w:p w14:paraId="69B5399E" w14:textId="77777777" w:rsidR="00204CD3" w:rsidRDefault="00204CD3">
      <w:pPr>
        <w:pStyle w:val="a9"/>
      </w:pPr>
      <w:r>
        <w:t>1.创建一个Safe Module</w:t>
      </w:r>
    </w:p>
    <w:p w14:paraId="687054B3" w14:textId="77777777" w:rsidR="00204CD3" w:rsidRDefault="00204CD3">
      <w:pPr>
        <w:pStyle w:val="a9"/>
      </w:pPr>
      <w:r>
        <w:t>2.在这个Module中开发插件，支持4337，只需要写最少的代码</w:t>
      </w:r>
    </w:p>
    <w:p w14:paraId="6CDC6B82" w14:textId="77777777" w:rsidR="00204CD3" w:rsidRDefault="00204CD3" w:rsidP="007D76D0">
      <w:pPr>
        <w:pStyle w:val="a9"/>
      </w:pPr>
      <w:r>
        <w:t>具体的实操得看Safe的技术文档</w:t>
      </w:r>
    </w:p>
  </w:comment>
  <w:comment w:id="2" w:author="科 林" w:date="2023-09-07T10:11:00Z" w:initials="科林">
    <w:p w14:paraId="2DB23C26" w14:textId="77777777" w:rsidR="00104A9D" w:rsidRDefault="00104A9D">
      <w:pPr>
        <w:pStyle w:val="a9"/>
      </w:pPr>
      <w:r>
        <w:rPr>
          <w:rStyle w:val="a8"/>
        </w:rPr>
        <w:annotationRef/>
      </w:r>
      <w:r>
        <w:t>问题：</w:t>
      </w:r>
    </w:p>
    <w:p w14:paraId="0ADCD3B5" w14:textId="77777777" w:rsidR="00104A9D" w:rsidRDefault="00104A9D" w:rsidP="00800721">
      <w:pPr>
        <w:pStyle w:val="a9"/>
      </w:pPr>
      <w:r>
        <w:t>什么是on-ramp?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8BAA95" w15:done="0"/>
  <w15:commentEx w15:paraId="6CDC6B82" w15:done="0"/>
  <w15:commentEx w15:paraId="0ADCD3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41C61" w16cex:dateUtc="2023-09-07T01:54:00Z"/>
  <w16cex:commentExtensible w16cex:durableId="28A41FE7" w16cex:dateUtc="2023-09-07T02:09:00Z"/>
  <w16cex:commentExtensible w16cex:durableId="28A4204F" w16cex:dateUtc="2023-09-07T0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8BAA95" w16cid:durableId="28A41C61"/>
  <w16cid:commentId w16cid:paraId="6CDC6B82" w16cid:durableId="28A41FE7"/>
  <w16cid:commentId w16cid:paraId="0ADCD3B5" w16cid:durableId="28A420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D855A" w14:textId="77777777" w:rsidR="00DF3F54" w:rsidRDefault="00DF3F54" w:rsidP="00F45838">
      <w:r>
        <w:separator/>
      </w:r>
    </w:p>
  </w:endnote>
  <w:endnote w:type="continuationSeparator" w:id="0">
    <w:p w14:paraId="58B7FB04" w14:textId="77777777" w:rsidR="00DF3F54" w:rsidRDefault="00DF3F54" w:rsidP="00F4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font-akzidenz-grotesk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43E1" w14:textId="77777777" w:rsidR="00DF3F54" w:rsidRDefault="00DF3F54" w:rsidP="00F45838">
      <w:r>
        <w:separator/>
      </w:r>
    </w:p>
  </w:footnote>
  <w:footnote w:type="continuationSeparator" w:id="0">
    <w:p w14:paraId="15BD5F59" w14:textId="77777777" w:rsidR="00DF3F54" w:rsidRDefault="00DF3F54" w:rsidP="00F4583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9E"/>
    <w:rsid w:val="00104A9D"/>
    <w:rsid w:val="00204CD3"/>
    <w:rsid w:val="002B269E"/>
    <w:rsid w:val="002D5401"/>
    <w:rsid w:val="003F05D4"/>
    <w:rsid w:val="00422811"/>
    <w:rsid w:val="006B5749"/>
    <w:rsid w:val="007D2416"/>
    <w:rsid w:val="009B5240"/>
    <w:rsid w:val="00B56CD7"/>
    <w:rsid w:val="00DF3F54"/>
    <w:rsid w:val="00F4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BCB2B"/>
  <w15:chartTrackingRefBased/>
  <w15:docId w15:val="{6AF14190-927B-443E-87D0-E62AB4F7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458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58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4583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58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5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5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58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58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458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45838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F45838"/>
    <w:rPr>
      <w:color w:val="0000FF"/>
      <w:u w:val="single"/>
    </w:rPr>
  </w:style>
  <w:style w:type="character" w:customStyle="1" w:styleId="mr-2">
    <w:name w:val="mr-2"/>
    <w:basedOn w:val="a0"/>
    <w:rsid w:val="00F45838"/>
  </w:style>
  <w:style w:type="character" w:customStyle="1" w:styleId="underline">
    <w:name w:val="underline"/>
    <w:basedOn w:val="a0"/>
    <w:rsid w:val="00F45838"/>
  </w:style>
  <w:style w:type="character" w:customStyle="1" w:styleId="font-akzidenz-grotesk">
    <w:name w:val="font-akzidenz-grotesk"/>
    <w:basedOn w:val="a0"/>
    <w:rsid w:val="00F45838"/>
  </w:style>
  <w:style w:type="character" w:customStyle="1" w:styleId="whitespace-nowrap">
    <w:name w:val="whitespace-nowrap"/>
    <w:basedOn w:val="a0"/>
    <w:rsid w:val="00F45838"/>
  </w:style>
  <w:style w:type="paragraph" w:customStyle="1" w:styleId="font-meta-serif-pro">
    <w:name w:val="font-meta-serif-pro"/>
    <w:basedOn w:val="a"/>
    <w:rsid w:val="00F45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">
    <w:name w:val="link"/>
    <w:basedOn w:val="a0"/>
    <w:rsid w:val="00F45838"/>
  </w:style>
  <w:style w:type="paragraph" w:customStyle="1" w:styleId="mb-3">
    <w:name w:val="mb-3"/>
    <w:basedOn w:val="a"/>
    <w:rsid w:val="00F458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xs">
    <w:name w:val="text-xs"/>
    <w:basedOn w:val="a0"/>
    <w:rsid w:val="00F4583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4583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F45838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4583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F45838"/>
    <w:rPr>
      <w:rFonts w:ascii="Arial" w:eastAsia="宋体" w:hAnsi="Arial" w:cs="Arial"/>
      <w:vanish/>
      <w:kern w:val="0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F45838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F45838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F45838"/>
  </w:style>
  <w:style w:type="paragraph" w:styleId="ab">
    <w:name w:val="annotation subject"/>
    <w:basedOn w:val="a9"/>
    <w:next w:val="a9"/>
    <w:link w:val="ac"/>
    <w:uiPriority w:val="99"/>
    <w:semiHidden/>
    <w:unhideWhenUsed/>
    <w:rsid w:val="00F4583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45838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2D5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0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15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18139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354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7049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051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6702538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465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306471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231932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85776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5995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0079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6902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0613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1557191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284241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6259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07605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7248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693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821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31321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65455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96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10381672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71239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3776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289944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45669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6578528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82555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1576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530265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2003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650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4732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5266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13286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052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twitter.com/rimeissner" TargetMode="Externa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yperlink" Target="https://decrypt.co/143433/is-social-recovery-answer-losing-your-seed-phras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crypt.co/148430/safe-adds-smart-wallet-compatibility-account-abstraction-push" TargetMode="Externa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decrypt.co/resources/what-is-ethereum-quickly-explained-four-minute-guid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twitter.com/anirudh_chohan" TargetMode="External"/><Relationship Id="rId10" Type="http://schemas.openxmlformats.org/officeDocument/2006/relationships/hyperlink" Target="https://decrypt.co/author/ryan-gladwin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yperlink" Target="https://eips.ethereum.org/EIPS/eip-43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18</cp:revision>
  <dcterms:created xsi:type="dcterms:W3CDTF">2023-09-07T01:53:00Z</dcterms:created>
  <dcterms:modified xsi:type="dcterms:W3CDTF">2023-09-07T02:12:00Z</dcterms:modified>
</cp:coreProperties>
</file>