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CD780" w14:textId="77777777" w:rsidR="00F2663B" w:rsidRPr="00F2663B" w:rsidRDefault="00F2663B" w:rsidP="00F2663B">
      <w:pPr>
        <w:widowControl/>
        <w:jc w:val="left"/>
        <w:outlineLvl w:val="0"/>
        <w:rPr>
          <w:rFonts w:ascii="宋体" w:eastAsia="宋体" w:hAnsi="宋体" w:cs="宋体"/>
          <w:b/>
          <w:bCs/>
          <w:kern w:val="36"/>
          <w:sz w:val="46"/>
          <w:szCs w:val="46"/>
        </w:rPr>
      </w:pPr>
      <w:r w:rsidRPr="00F2663B">
        <w:rPr>
          <w:rFonts w:ascii="宋体" w:eastAsia="宋体" w:hAnsi="宋体" w:cs="宋体"/>
          <w:b/>
          <w:bCs/>
          <w:kern w:val="36"/>
          <w:sz w:val="46"/>
          <w:szCs w:val="46"/>
        </w:rPr>
        <w:t>ERC-4337 Overview</w:t>
      </w:r>
    </w:p>
    <w:p w14:paraId="7554007F" w14:textId="77777777" w:rsidR="00F2663B" w:rsidRPr="00F2663B" w:rsidRDefault="00F2663B" w:rsidP="00F2663B">
      <w:pPr>
        <w:widowControl/>
        <w:jc w:val="left"/>
        <w:rPr>
          <w:rFonts w:ascii="var(--markdown-font)" w:eastAsia="宋体" w:hAnsi="var(--markdown-font)" w:cs="宋体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宋体"/>
          <w:kern w:val="0"/>
          <w:sz w:val="27"/>
          <w:szCs w:val="27"/>
        </w:rPr>
        <w:t>A quick overview of the standard for developers.</w:t>
      </w:r>
    </w:p>
    <w:p w14:paraId="32A3EE6A" w14:textId="77777777" w:rsidR="00F2663B" w:rsidRPr="00F2663B" w:rsidRDefault="00F2663B" w:rsidP="00F2663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5" w:tgtFrame="_self" w:history="1">
        <w:r w:rsidRPr="00F2663B">
          <w:rPr>
            <w:rFonts w:ascii="宋体" w:eastAsia="宋体" w:hAnsi="宋体" w:cs="宋体"/>
            <w:color w:val="0000FF"/>
            <w:kern w:val="0"/>
            <w:sz w:val="20"/>
            <w:szCs w:val="20"/>
            <w:u w:val="single"/>
          </w:rPr>
          <w:t>Suggest Edits</w:t>
        </w:r>
      </w:hyperlink>
    </w:p>
    <w:p w14:paraId="55FE3019" w14:textId="77777777" w:rsidR="00F2663B" w:rsidRPr="00F2663B" w:rsidRDefault="00F2663B" w:rsidP="00F2663B">
      <w:pPr>
        <w:widowControl/>
        <w:shd w:val="clear" w:color="auto" w:fill="FFFFFF"/>
        <w:spacing w:after="100" w:afterAutospacing="1"/>
        <w:jc w:val="left"/>
        <w:outlineLvl w:val="1"/>
        <w:rPr>
          <w:rFonts w:ascii="var(--markdown-title-font)" w:eastAsia="宋体" w:hAnsi="var(--markdown-title-font)" w:cs="Segoe UI"/>
          <w:b/>
          <w:bCs/>
          <w:color w:val="384248"/>
          <w:kern w:val="0"/>
          <w:sz w:val="36"/>
          <w:szCs w:val="36"/>
        </w:rPr>
      </w:pPr>
      <w:r w:rsidRPr="00F2663B">
        <w:rPr>
          <w:rFonts w:ascii="var(--markdown-title-font)" w:eastAsia="宋体" w:hAnsi="var(--markdown-title-font)" w:cs="Segoe UI"/>
          <w:b/>
          <w:bCs/>
          <w:color w:val="384248"/>
          <w:kern w:val="0"/>
          <w:sz w:val="36"/>
          <w:szCs w:val="36"/>
        </w:rPr>
        <w:t>Introduction</w:t>
      </w:r>
    </w:p>
    <w:p w14:paraId="138815E3" w14:textId="77777777" w:rsidR="00F2663B" w:rsidRPr="00F2663B" w:rsidRDefault="00F2663B" w:rsidP="00F2663B">
      <w:pPr>
        <w:widowControl/>
        <w:shd w:val="clear" w:color="auto" w:fill="FFFFFF"/>
        <w:spacing w:after="22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This page gives a simplified overview of ERC-4337 so that developers can get a basic understanding of the different components and how they can be pieced together to build their applications.</w:t>
      </w:r>
    </w:p>
    <w:p w14:paraId="66BC6108" w14:textId="77777777" w:rsidR="00F2663B" w:rsidRPr="00F2663B" w:rsidRDefault="00F2663B" w:rsidP="00F2663B">
      <w:pPr>
        <w:widowControl/>
        <w:shd w:val="clear" w:color="auto" w:fill="FFFFFF"/>
        <w:spacing w:after="100" w:afterAutospacing="1"/>
        <w:jc w:val="left"/>
        <w:rPr>
          <w:rFonts w:ascii="var(--markdown-title-font)" w:eastAsia="宋体" w:hAnsi="var(--markdown-title-font)" w:cs="Segoe UI"/>
          <w:color w:val="384248"/>
          <w:kern w:val="0"/>
          <w:sz w:val="34"/>
          <w:szCs w:val="34"/>
        </w:rPr>
      </w:pPr>
      <w:r w:rsidRPr="00F2663B">
        <w:rPr>
          <w:rFonts w:ascii="Segoe UI Emoji" w:eastAsia="宋体" w:hAnsi="Segoe UI Emoji" w:cs="Segoe UI Emoji"/>
          <w:color w:val="384248"/>
          <w:kern w:val="0"/>
          <w:sz w:val="34"/>
          <w:szCs w:val="34"/>
        </w:rPr>
        <w:t>📘</w:t>
      </w:r>
    </w:p>
    <w:p w14:paraId="63E35941" w14:textId="77777777" w:rsidR="00F2663B" w:rsidRPr="00F2663B" w:rsidRDefault="00F2663B" w:rsidP="00F2663B">
      <w:pPr>
        <w:widowControl/>
        <w:shd w:val="clear" w:color="auto" w:fill="FFFFFF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Need to see the nitty-gritty details?</w:t>
      </w:r>
    </w:p>
    <w:p w14:paraId="23E3FB4A" w14:textId="77777777" w:rsidR="00F2663B" w:rsidRPr="00F2663B" w:rsidRDefault="00F2663B" w:rsidP="00F2663B">
      <w:pPr>
        <w:widowControl/>
        <w:shd w:val="clear" w:color="auto" w:fill="FFFFFF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We recommend going straight to the </w:t>
      </w:r>
      <w:hyperlink r:id="rId6" w:tgtFrame="_self" w:history="1">
        <w:r w:rsidRPr="00F2663B">
          <w:rPr>
            <w:rFonts w:ascii="var(--markdown-font)" w:eastAsia="宋体" w:hAnsi="var(--markdown-font)" w:cs="Segoe UI"/>
            <w:color w:val="0000FF"/>
            <w:kern w:val="0"/>
            <w:sz w:val="27"/>
            <w:szCs w:val="27"/>
            <w:u w:val="single"/>
          </w:rPr>
          <w:t>source</w:t>
        </w:r>
      </w:hyperlink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.</w:t>
      </w:r>
    </w:p>
    <w:p w14:paraId="7C2C1634" w14:textId="77777777" w:rsidR="00F2663B" w:rsidRPr="00F2663B" w:rsidRDefault="00F2663B" w:rsidP="00F2663B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var(--markdown-title-font)" w:eastAsia="宋体" w:hAnsi="var(--markdown-title-font)" w:cs="Segoe UI"/>
          <w:b/>
          <w:bCs/>
          <w:color w:val="384248"/>
          <w:kern w:val="0"/>
          <w:sz w:val="36"/>
          <w:szCs w:val="36"/>
        </w:rPr>
      </w:pPr>
      <w:r w:rsidRPr="00F2663B">
        <w:rPr>
          <w:rFonts w:ascii="var(--markdown-title-font)" w:eastAsia="宋体" w:hAnsi="var(--markdown-title-font)" w:cs="Segoe UI"/>
          <w:b/>
          <w:bCs/>
          <w:color w:val="384248"/>
          <w:kern w:val="0"/>
          <w:sz w:val="36"/>
          <w:szCs w:val="36"/>
        </w:rPr>
        <w:t>Architecture</w:t>
      </w:r>
    </w:p>
    <w:p w14:paraId="425CBE4E" w14:textId="77777777" w:rsidR="00F2663B" w:rsidRPr="00F2663B" w:rsidRDefault="00F2663B" w:rsidP="00F2663B">
      <w:pPr>
        <w:widowControl/>
        <w:shd w:val="clear" w:color="auto" w:fill="FFFFFF"/>
        <w:spacing w:after="22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There are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four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main components to ERC-4337: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a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  <w:bdr w:val="none" w:sz="0" w:space="0" w:color="auto" w:frame="1"/>
        </w:rPr>
        <w:t>User Operation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,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  <w:bdr w:val="none" w:sz="0" w:space="0" w:color="auto" w:frame="1"/>
        </w:rPr>
        <w:t>Bundler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, 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  <w:bdr w:val="none" w:sz="0" w:space="0" w:color="auto" w:frame="1"/>
        </w:rPr>
        <w:t>EntryPoint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, and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  <w:bdr w:val="none" w:sz="0" w:space="0" w:color="auto" w:frame="1"/>
        </w:rPr>
        <w:t>Smart Account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 (aka Contract Account)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. These can be supplemented by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  <w:bdr w:val="none" w:sz="0" w:space="0" w:color="auto" w:frame="1"/>
        </w:rPr>
        <w:t>Paymaster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and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  <w:bdr w:val="none" w:sz="0" w:space="0" w:color="auto" w:frame="1"/>
        </w:rPr>
        <w:t>Aggregator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.</w:t>
      </w:r>
    </w:p>
    <w:p w14:paraId="7AFD8216" w14:textId="792F0E71" w:rsidR="00F2663B" w:rsidRPr="00F2663B" w:rsidRDefault="00F2663B" w:rsidP="00F2663B">
      <w:pPr>
        <w:widowControl/>
        <w:shd w:val="clear" w:color="auto" w:fill="FFFFFF"/>
        <w:spacing w:after="22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lastRenderedPageBreak/>
        <w:drawing>
          <wp:inline distT="0" distB="0" distL="0" distR="0" wp14:anchorId="1D49F11A" wp14:editId="421611E9">
            <wp:extent cx="5274310" cy="2637155"/>
            <wp:effectExtent l="0" t="0" r="2540" b="0"/>
            <wp:docPr id="298822650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822650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7855" w14:textId="77777777" w:rsidR="00F2663B" w:rsidRPr="00F2663B" w:rsidRDefault="00F2663B" w:rsidP="00F2663B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ind w:left="118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proofErr w:type="spellStart"/>
      <w:r w:rsidRPr="00F2663B">
        <w:rPr>
          <w:rFonts w:ascii="var(--markdown-font)" w:eastAsia="宋体" w:hAnsi="var(--markdown-font)" w:cs="Segoe UI"/>
          <w:i/>
          <w:iCs/>
          <w:color w:val="384248"/>
          <w:kern w:val="0"/>
          <w:sz w:val="27"/>
          <w:szCs w:val="27"/>
          <w:highlight w:val="yellow"/>
        </w:rPr>
        <w:t>UserOperations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 are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pseudo-transaction objects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that are used to execute transactions with contract accounts. These are created by your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app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.</w:t>
      </w:r>
    </w:p>
    <w:p w14:paraId="113935EA" w14:textId="77777777" w:rsidR="00F2663B" w:rsidRPr="00F2663B" w:rsidRDefault="00F2663B" w:rsidP="00F2663B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ind w:left="118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i/>
          <w:iCs/>
          <w:color w:val="384248"/>
          <w:kern w:val="0"/>
          <w:sz w:val="27"/>
          <w:szCs w:val="27"/>
          <w:highlight w:val="yellow"/>
        </w:rPr>
        <w:t>Bundlers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 are actors that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 xml:space="preserve">package 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UserOperations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 xml:space="preserve"> from a 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mempool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 xml:space="preserve"> and send them to the 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EntryPoint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 xml:space="preserve"> contract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on the blockchain.</w:t>
      </w:r>
    </w:p>
    <w:p w14:paraId="5AD60E19" w14:textId="77777777" w:rsidR="00F2663B" w:rsidRPr="00F2663B" w:rsidRDefault="00F2663B" w:rsidP="00F2663B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ind w:left="118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proofErr w:type="spellStart"/>
      <w:r w:rsidRPr="00F2663B">
        <w:rPr>
          <w:rFonts w:ascii="var(--markdown-font)" w:eastAsia="宋体" w:hAnsi="var(--markdown-font)" w:cs="Segoe UI"/>
          <w:i/>
          <w:iCs/>
          <w:color w:val="384248"/>
          <w:kern w:val="0"/>
          <w:sz w:val="27"/>
          <w:szCs w:val="27"/>
          <w:highlight w:val="yellow"/>
        </w:rPr>
        <w:t>EntryPoint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 is a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singleton smart contract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that handles the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verification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and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execution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logic for transactions.</w:t>
      </w:r>
    </w:p>
    <w:p w14:paraId="60E7C8D8" w14:textId="77777777" w:rsidR="00F2663B" w:rsidRPr="00F2663B" w:rsidRDefault="00F2663B" w:rsidP="00F2663B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ind w:left="118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i/>
          <w:iCs/>
          <w:color w:val="384248"/>
          <w:kern w:val="0"/>
          <w:sz w:val="27"/>
          <w:szCs w:val="27"/>
          <w:highlight w:val="yellow"/>
        </w:rPr>
        <w:t>Contract Accounts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 are smart contract accounts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owned by a user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.</w:t>
      </w:r>
    </w:p>
    <w:p w14:paraId="3710F8A9" w14:textId="77777777" w:rsidR="00F2663B" w:rsidRPr="00F2663B" w:rsidRDefault="00F2663B" w:rsidP="00F2663B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ind w:left="118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i/>
          <w:iCs/>
          <w:color w:val="384248"/>
          <w:kern w:val="0"/>
          <w:sz w:val="27"/>
          <w:szCs w:val="27"/>
          <w:highlight w:val="yellow"/>
        </w:rPr>
        <w:t>Paymasters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 are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optional smart contract accounts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that can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sponsor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transactions for Contract Accounts.</w:t>
      </w:r>
    </w:p>
    <w:p w14:paraId="21203E58" w14:textId="77777777" w:rsidR="00F2663B" w:rsidRPr="00F2663B" w:rsidRDefault="00F2663B" w:rsidP="00F2663B">
      <w:pPr>
        <w:widowControl/>
        <w:numPr>
          <w:ilvl w:val="0"/>
          <w:numId w:val="1"/>
        </w:numPr>
        <w:shd w:val="clear" w:color="auto" w:fill="FFFFFF"/>
        <w:spacing w:before="60" w:after="100" w:afterAutospacing="1"/>
        <w:ind w:left="118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i/>
          <w:iCs/>
          <w:color w:val="384248"/>
          <w:kern w:val="0"/>
          <w:sz w:val="27"/>
          <w:szCs w:val="27"/>
          <w:highlight w:val="yellow"/>
        </w:rPr>
        <w:t>Aggregators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 are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optional smart contracts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that can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validate signatures for multiple Contract Accounts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.</w:t>
      </w:r>
    </w:p>
    <w:p w14:paraId="6D046C5D" w14:textId="77777777" w:rsidR="00F2663B" w:rsidRPr="00F2663B" w:rsidRDefault="00F2663B" w:rsidP="00F2663B">
      <w:pPr>
        <w:widowControl/>
        <w:shd w:val="clear" w:color="auto" w:fill="FFFFFF"/>
        <w:spacing w:after="100" w:afterAutospacing="1"/>
        <w:jc w:val="left"/>
        <w:rPr>
          <w:rFonts w:ascii="var(--markdown-title-font)" w:eastAsia="宋体" w:hAnsi="var(--markdown-title-font)" w:cs="Segoe UI"/>
          <w:color w:val="384248"/>
          <w:kern w:val="0"/>
          <w:sz w:val="34"/>
          <w:szCs w:val="34"/>
        </w:rPr>
      </w:pPr>
      <w:r w:rsidRPr="00F2663B">
        <w:rPr>
          <w:rFonts w:ascii="Segoe UI Emoji" w:eastAsia="宋体" w:hAnsi="Segoe UI Emoji" w:cs="Segoe UI Emoji"/>
          <w:color w:val="384248"/>
          <w:kern w:val="0"/>
          <w:sz w:val="34"/>
          <w:szCs w:val="34"/>
        </w:rPr>
        <w:lastRenderedPageBreak/>
        <w:t>👍</w:t>
      </w:r>
    </w:p>
    <w:p w14:paraId="5DBE270A" w14:textId="77777777" w:rsidR="00F2663B" w:rsidRPr="00F2663B" w:rsidRDefault="00F2663B" w:rsidP="00F2663B">
      <w:pPr>
        <w:widowControl/>
        <w:shd w:val="clear" w:color="auto" w:fill="FFFFFF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ERC-4337 Compliance</w:t>
      </w:r>
    </w:p>
    <w:p w14:paraId="62ECA331" w14:textId="77777777" w:rsidR="00F2663B" w:rsidRPr="00F2663B" w:rsidRDefault="00F2663B" w:rsidP="00F2663B">
      <w:pPr>
        <w:widowControl/>
        <w:shd w:val="clear" w:color="auto" w:fill="FFFFFF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All 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Stackup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tools are ERC-4337 compliant and composable with other open-source packages</w:t>
      </w:r>
    </w:p>
    <w:p w14:paraId="2B3D729B" w14:textId="77777777" w:rsidR="00F2663B" w:rsidRPr="00F2663B" w:rsidRDefault="00F2663B" w:rsidP="00F2663B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var(--markdown-title-font)" w:eastAsia="宋体" w:hAnsi="var(--markdown-title-font)" w:cs="Segoe UI"/>
          <w:b/>
          <w:bCs/>
          <w:color w:val="384248"/>
          <w:kern w:val="0"/>
          <w:sz w:val="27"/>
          <w:szCs w:val="27"/>
        </w:rPr>
      </w:pPr>
      <w:r w:rsidRPr="00F2663B">
        <w:rPr>
          <w:rFonts w:ascii="var(--markdown-title-font)" w:eastAsia="宋体" w:hAnsi="var(--markdown-title-font)" w:cs="Segoe UI"/>
          <w:b/>
          <w:bCs/>
          <w:color w:val="384248"/>
          <w:kern w:val="0"/>
          <w:sz w:val="27"/>
          <w:szCs w:val="27"/>
          <w:highlight w:val="yellow"/>
        </w:rPr>
        <w:t>User Operations</w:t>
      </w:r>
    </w:p>
    <w:p w14:paraId="6F627C0C" w14:textId="77777777" w:rsidR="00F2663B" w:rsidRPr="00F2663B" w:rsidRDefault="00F2663B" w:rsidP="00F2663B">
      <w:pPr>
        <w:widowControl/>
        <w:shd w:val="clear" w:color="auto" w:fill="FFFFFF"/>
        <w:spacing w:after="22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All components of ERC-4337 revolve around a pseudo-transaction object called a 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UserOperation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which is used to execute actions through a smart contract account. It captures the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intent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of what the user wants to do. This isn't to be mistaken for a regular transaction type.</w:t>
      </w:r>
    </w:p>
    <w:tbl>
      <w:tblPr>
        <w:tblW w:w="1006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54"/>
        <w:gridCol w:w="1055"/>
        <w:gridCol w:w="6255"/>
      </w:tblGrid>
      <w:tr w:rsidR="00F2663B" w:rsidRPr="00F2663B" w14:paraId="3B33DB2C" w14:textId="77777777" w:rsidTr="00E95784">
        <w:trPr>
          <w:trHeight w:val="291"/>
          <w:tblHeader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03DCD19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Field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DF211EC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Type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A65C68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Description</w:t>
            </w:r>
          </w:p>
        </w:tc>
      </w:tr>
      <w:tr w:rsidR="00F2663B" w:rsidRPr="00F2663B" w14:paraId="56A28871" w14:textId="77777777" w:rsidTr="00E95784">
        <w:trPr>
          <w:trHeight w:val="291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F6BF535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sender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AAE45E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address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607DC7D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The address of the 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  <w:t>smart account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sending the 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  <w:bdr w:val="none" w:sz="0" w:space="0" w:color="auto" w:frame="1"/>
              </w:rPr>
              <w:t>User Operation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>.</w:t>
            </w:r>
          </w:p>
        </w:tc>
      </w:tr>
      <w:tr w:rsidR="00F2663B" w:rsidRPr="00F2663B" w14:paraId="01515760" w14:textId="77777777" w:rsidTr="00E95784">
        <w:trPr>
          <w:trHeight w:val="291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593982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nonce</w:t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FFFDA0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uint256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0B1D551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>Anti-replay protection.</w:t>
            </w:r>
          </w:p>
        </w:tc>
      </w:tr>
      <w:tr w:rsidR="00F2663B" w:rsidRPr="00F2663B" w14:paraId="5B1B7673" w14:textId="77777777" w:rsidTr="00E95784">
        <w:trPr>
          <w:trHeight w:val="291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91B446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initCode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BDB652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bytes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086BC7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Code used to 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  <w:t>deploy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the 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  <w:bdr w:val="none" w:sz="0" w:space="0" w:color="auto" w:frame="1"/>
              </w:rPr>
              <w:t>sender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> if not yet on-chain.</w:t>
            </w:r>
          </w:p>
        </w:tc>
      </w:tr>
      <w:tr w:rsidR="00F2663B" w:rsidRPr="00F2663B" w14:paraId="16A3619E" w14:textId="77777777" w:rsidTr="00E95784">
        <w:trPr>
          <w:trHeight w:val="291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9C0CB8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callData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A0BABF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bytes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290B4D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>Data that's passed to the 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  <w:bdr w:val="none" w:sz="0" w:space="0" w:color="auto" w:frame="1"/>
              </w:rPr>
              <w:t>sender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> for execution.</w:t>
            </w:r>
          </w:p>
        </w:tc>
      </w:tr>
      <w:tr w:rsidR="00F2663B" w:rsidRPr="00F2663B" w14:paraId="306C349C" w14:textId="77777777" w:rsidTr="00E95784">
        <w:trPr>
          <w:trHeight w:val="291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E4994E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callGasLimit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DA13F0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uint256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3BA66B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Gas limit for the 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  <w:t>execution phase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>.</w:t>
            </w:r>
          </w:p>
        </w:tc>
      </w:tr>
      <w:tr w:rsidR="00F2663B" w:rsidRPr="00F2663B" w14:paraId="0AAD0C7A" w14:textId="77777777" w:rsidTr="00E95784">
        <w:trPr>
          <w:trHeight w:val="291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22B0110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verificationGasLimit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D4AC17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uint256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DAA9B3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Gas limit for the 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  <w:t>verification phase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>.</w:t>
            </w:r>
          </w:p>
        </w:tc>
      </w:tr>
      <w:tr w:rsidR="00F2663B" w:rsidRPr="00F2663B" w14:paraId="1753A460" w14:textId="77777777" w:rsidTr="00E95784">
        <w:trPr>
          <w:trHeight w:val="593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C44CA2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0"/>
            <w:proofErr w:type="spellStart"/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preVerificationGas</w:t>
            </w:r>
            <w:commentRangeEnd w:id="0"/>
            <w:proofErr w:type="spellEnd"/>
            <w:r w:rsidR="00E95784">
              <w:rPr>
                <w:rStyle w:val="a7"/>
              </w:rPr>
              <w:commentReference w:id="0"/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BCB20E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uint256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077655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Gas to 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  <w:t>compensate the bundler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for the overhead to submit the 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  <w:bdr w:val="none" w:sz="0" w:space="0" w:color="auto" w:frame="1"/>
              </w:rPr>
              <w:t>User Operation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>.</w:t>
            </w:r>
          </w:p>
        </w:tc>
      </w:tr>
      <w:tr w:rsidR="00F2663B" w:rsidRPr="00F2663B" w14:paraId="6D55BF8A" w14:textId="77777777" w:rsidTr="00E95784">
        <w:trPr>
          <w:trHeight w:val="291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D5B656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maxFeePerGas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C0FBAC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uint256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83EE31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>Similar to EIP-1559 </w:t>
            </w:r>
            <w:proofErr w:type="spellStart"/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  <w:bdr w:val="none" w:sz="0" w:space="0" w:color="auto" w:frame="1"/>
              </w:rPr>
              <w:t>maxFeePerGas</w:t>
            </w:r>
            <w:proofErr w:type="spellEnd"/>
          </w:p>
        </w:tc>
      </w:tr>
      <w:tr w:rsidR="00F2663B" w:rsidRPr="00F2663B" w14:paraId="37809098" w14:textId="77777777" w:rsidTr="00E95784">
        <w:trPr>
          <w:trHeight w:val="291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A20726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maxPriorityFeePerGas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BF8F394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uint256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8A54623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>Similar to EIP-1559 </w:t>
            </w:r>
            <w:proofErr w:type="spellStart"/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  <w:bdr w:val="none" w:sz="0" w:space="0" w:color="auto" w:frame="1"/>
              </w:rPr>
              <w:t>maxPriorityFeePerGas</w:t>
            </w:r>
            <w:proofErr w:type="spellEnd"/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>.</w:t>
            </w:r>
          </w:p>
        </w:tc>
      </w:tr>
      <w:tr w:rsidR="00F2663B" w:rsidRPr="00F2663B" w14:paraId="07560614" w14:textId="77777777" w:rsidTr="00E95784">
        <w:trPr>
          <w:trHeight w:val="896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37F5ED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paymasterAndData</w:t>
            </w:r>
            <w:proofErr w:type="spellEnd"/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E275B7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bytes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CAC78C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  <w:bdr w:val="none" w:sz="0" w:space="0" w:color="auto" w:frame="1"/>
              </w:rPr>
              <w:t>Paymaster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  <w:t> contract address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and any 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  <w:t>extra data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the paymaster contract needs for verification 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and execution. When set to </w:t>
            </w:r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  <w:highlight w:val="yellow"/>
              </w:rPr>
              <w:t>0x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 or the 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  <w:highlight w:val="yellow"/>
              </w:rPr>
              <w:t>zero address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>, no paymaster is used.</w:t>
            </w:r>
          </w:p>
        </w:tc>
      </w:tr>
      <w:tr w:rsidR="00F2663B" w:rsidRPr="00F2663B" w14:paraId="01657CA5" w14:textId="77777777" w:rsidTr="00E95784">
        <w:trPr>
          <w:trHeight w:val="291"/>
        </w:trPr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33D3EF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1"/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lastRenderedPageBreak/>
              <w:t>signature</w:t>
            </w:r>
            <w:commentRangeEnd w:id="1"/>
            <w:r w:rsidR="00E95784">
              <w:rPr>
                <w:rStyle w:val="a7"/>
              </w:rPr>
              <w:commentReference w:id="1"/>
            </w:r>
          </w:p>
        </w:tc>
        <w:tc>
          <w:tcPr>
            <w:tcW w:w="0" w:type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15620D0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19"/>
                <w:szCs w:val="19"/>
              </w:rPr>
              <w:t>bytes</w:t>
            </w:r>
          </w:p>
        </w:tc>
        <w:tc>
          <w:tcPr>
            <w:tcW w:w="0" w:type="auto"/>
            <w:tcBorders>
              <w:right w:val="nil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0358CC0" w14:textId="77777777" w:rsidR="00F2663B" w:rsidRPr="00F2663B" w:rsidRDefault="00F2663B" w:rsidP="00F2663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>Used to validate a 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  <w:bdr w:val="none" w:sz="0" w:space="0" w:color="auto" w:frame="1"/>
              </w:rPr>
              <w:t>User Operation</w:t>
            </w:r>
            <w:r w:rsidRPr="00F2663B">
              <w:rPr>
                <w:rFonts w:ascii="宋体" w:eastAsia="宋体" w:hAnsi="宋体" w:cs="宋体"/>
                <w:kern w:val="0"/>
                <w:sz w:val="24"/>
                <w:szCs w:val="24"/>
              </w:rPr>
              <w:t> during verification.</w:t>
            </w:r>
          </w:p>
        </w:tc>
      </w:tr>
    </w:tbl>
    <w:p w14:paraId="2D6B6B2F" w14:textId="77777777" w:rsidR="00F2663B" w:rsidRPr="00F2663B" w:rsidRDefault="00F2663B" w:rsidP="00F2663B">
      <w:pPr>
        <w:widowControl/>
        <w:shd w:val="clear" w:color="auto" w:fill="FFFFFF"/>
        <w:spacing w:after="22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You will see reference to two phases of ERC-4337: verification and execution. Verification is checking the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validity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of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bdr w:val="none" w:sz="0" w:space="0" w:color="auto" w:frame="1"/>
        </w:rPr>
        <w:t>User Operation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s, and execution is the actual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execution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of those transactions.</w:t>
      </w:r>
    </w:p>
    <w:p w14:paraId="0CFBA81F" w14:textId="77777777" w:rsidR="00F2663B" w:rsidRPr="00F2663B" w:rsidRDefault="00F2663B" w:rsidP="00F2663B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var(--markdown-title-font)" w:eastAsia="宋体" w:hAnsi="var(--markdown-title-font)" w:cs="Segoe UI"/>
          <w:b/>
          <w:bCs/>
          <w:color w:val="384248"/>
          <w:kern w:val="0"/>
          <w:sz w:val="27"/>
          <w:szCs w:val="27"/>
        </w:rPr>
      </w:pPr>
      <w:r w:rsidRPr="00F2663B">
        <w:rPr>
          <w:rFonts w:ascii="var(--markdown-title-font)" w:eastAsia="宋体" w:hAnsi="var(--markdown-title-font)" w:cs="Segoe UI"/>
          <w:b/>
          <w:bCs/>
          <w:color w:val="384248"/>
          <w:kern w:val="0"/>
          <w:sz w:val="27"/>
          <w:szCs w:val="27"/>
          <w:highlight w:val="yellow"/>
        </w:rPr>
        <w:t>Bundler</w:t>
      </w:r>
    </w:p>
    <w:p w14:paraId="2D6D552A" w14:textId="77777777" w:rsidR="00F2663B" w:rsidRPr="00F2663B" w:rsidRDefault="00F2663B" w:rsidP="00F2663B">
      <w:pPr>
        <w:widowControl/>
        <w:shd w:val="clear" w:color="auto" w:fill="FFFFFF"/>
        <w:spacing w:after="22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A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bdr w:val="none" w:sz="0" w:space="0" w:color="auto" w:frame="1"/>
        </w:rPr>
        <w:t>Bundler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 is a class of actors that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sends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  <w:bdr w:val="none" w:sz="0" w:space="0" w:color="auto" w:frame="1"/>
        </w:rPr>
        <w:t>User Operation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s to the 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  <w:bdr w:val="none" w:sz="0" w:space="0" w:color="auto" w:frame="1"/>
        </w:rPr>
        <w:t>EntryPoint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. Specifically, it:</w:t>
      </w:r>
    </w:p>
    <w:p w14:paraId="5668E850" w14:textId="77777777" w:rsidR="00F2663B" w:rsidRPr="00F2663B" w:rsidRDefault="00F2663B" w:rsidP="00F2663B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ind w:left="118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Listens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to at least one 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UserOperation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mempool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.</w:t>
      </w:r>
    </w:p>
    <w:p w14:paraId="11A5222A" w14:textId="77777777" w:rsidR="00F2663B" w:rsidRPr="00F2663B" w:rsidRDefault="00F2663B" w:rsidP="00F2663B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ind w:left="118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Runs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simulations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.</w:t>
      </w:r>
    </w:p>
    <w:p w14:paraId="071C6001" w14:textId="77777777" w:rsidR="00F2663B" w:rsidRPr="00F2663B" w:rsidRDefault="00F2663B" w:rsidP="00F2663B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ind w:left="118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Bundles an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array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of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bdr w:val="none" w:sz="0" w:space="0" w:color="auto" w:frame="1"/>
        </w:rPr>
        <w:t>User Operation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s.</w:t>
      </w:r>
    </w:p>
    <w:p w14:paraId="669BC96C" w14:textId="77777777" w:rsidR="00F2663B" w:rsidRPr="00F2663B" w:rsidRDefault="00F2663B" w:rsidP="00F2663B">
      <w:pPr>
        <w:widowControl/>
        <w:numPr>
          <w:ilvl w:val="0"/>
          <w:numId w:val="2"/>
        </w:numPr>
        <w:shd w:val="clear" w:color="auto" w:fill="FFFFFF"/>
        <w:spacing w:before="60" w:after="100" w:afterAutospacing="1"/>
        <w:ind w:left="118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Relays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bundles to the 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bdr w:val="none" w:sz="0" w:space="0" w:color="auto" w:frame="1"/>
        </w:rPr>
        <w:t>EntryPoint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.</w:t>
      </w:r>
    </w:p>
    <w:p w14:paraId="018B23E2" w14:textId="77777777" w:rsidR="00F2663B" w:rsidRPr="00F2663B" w:rsidRDefault="00F2663B" w:rsidP="00F2663B">
      <w:pPr>
        <w:widowControl/>
        <w:shd w:val="clear" w:color="auto" w:fill="FFFFFF"/>
        <w:spacing w:after="22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Mempools for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  <w:bdr w:val="none" w:sz="0" w:space="0" w:color="auto" w:frame="1"/>
        </w:rPr>
        <w:t>User Operation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 xml:space="preserve"> are separate from the regular blockchain transaction 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mempool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.</w:t>
      </w:r>
    </w:p>
    <w:p w14:paraId="51EC3AF1" w14:textId="77777777" w:rsidR="00F2663B" w:rsidRPr="00F2663B" w:rsidRDefault="00F2663B" w:rsidP="00F2663B">
      <w:pPr>
        <w:widowControl/>
        <w:shd w:val="clear" w:color="auto" w:fill="FFFFFF"/>
        <w:spacing w:after="100" w:afterAutospacing="1"/>
        <w:jc w:val="left"/>
        <w:rPr>
          <w:rFonts w:ascii="var(--markdown-title-font)" w:eastAsia="宋体" w:hAnsi="var(--markdown-title-font)" w:cs="Segoe UI"/>
          <w:color w:val="384248"/>
          <w:kern w:val="0"/>
          <w:sz w:val="34"/>
          <w:szCs w:val="34"/>
        </w:rPr>
      </w:pPr>
      <w:r w:rsidRPr="00F2663B">
        <w:rPr>
          <w:rFonts w:ascii="Segoe UI Emoji" w:eastAsia="宋体" w:hAnsi="Segoe UI Emoji" w:cs="Segoe UI Emoji"/>
          <w:color w:val="384248"/>
          <w:kern w:val="0"/>
          <w:sz w:val="34"/>
          <w:szCs w:val="34"/>
        </w:rPr>
        <w:t>📘</w:t>
      </w:r>
    </w:p>
    <w:p w14:paraId="6E9DFEF9" w14:textId="77777777" w:rsidR="00F2663B" w:rsidRPr="00F2663B" w:rsidRDefault="00F2663B" w:rsidP="00F2663B">
      <w:pPr>
        <w:widowControl/>
        <w:shd w:val="clear" w:color="auto" w:fill="FFFFFF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Canonical 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Mempool</w:t>
      </w:r>
      <w:proofErr w:type="spellEnd"/>
    </w:p>
    <w:p w14:paraId="3E4B9071" w14:textId="77777777" w:rsidR="00F2663B" w:rsidRPr="00F2663B" w:rsidRDefault="00F2663B" w:rsidP="00F2663B">
      <w:pPr>
        <w:widowControl/>
        <w:shd w:val="clear" w:color="auto" w:fill="FFFFFF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lastRenderedPageBreak/>
        <w:t xml:space="preserve">A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public peer-to-peer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bdr w:val="none" w:sz="0" w:space="0" w:color="auto" w:frame="1"/>
        </w:rPr>
        <w:t>User Operation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 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mempool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is still a work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in progress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and expected to go live in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October 2023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. However, ERC-4337 can still be used today with private 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mempools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.</w:t>
      </w:r>
    </w:p>
    <w:p w14:paraId="73F10DCC" w14:textId="77777777" w:rsidR="00F2663B" w:rsidRPr="00F2663B" w:rsidRDefault="00F2663B" w:rsidP="00F2663B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var(--markdown-title-font)" w:eastAsia="宋体" w:hAnsi="var(--markdown-title-font)" w:cs="Segoe UI"/>
          <w:b/>
          <w:bCs/>
          <w:color w:val="384248"/>
          <w:kern w:val="0"/>
          <w:sz w:val="27"/>
          <w:szCs w:val="27"/>
        </w:rPr>
      </w:pPr>
      <w:proofErr w:type="spellStart"/>
      <w:r w:rsidRPr="00F2663B">
        <w:rPr>
          <w:rFonts w:ascii="var(--markdown-title-font)" w:eastAsia="宋体" w:hAnsi="var(--markdown-title-font)" w:cs="Segoe UI"/>
          <w:b/>
          <w:bCs/>
          <w:color w:val="384248"/>
          <w:kern w:val="0"/>
          <w:sz w:val="27"/>
          <w:szCs w:val="27"/>
          <w:highlight w:val="yellow"/>
        </w:rPr>
        <w:t>EntryPoint</w:t>
      </w:r>
      <w:proofErr w:type="spellEnd"/>
    </w:p>
    <w:p w14:paraId="01AB47A5" w14:textId="77777777" w:rsidR="00F2663B" w:rsidRPr="00F2663B" w:rsidRDefault="00F2663B" w:rsidP="00F2663B">
      <w:pPr>
        <w:widowControl/>
        <w:shd w:val="clear" w:color="auto" w:fill="FFFFFF"/>
        <w:spacing w:after="22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The 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bdr w:val="none" w:sz="0" w:space="0" w:color="auto" w:frame="1"/>
        </w:rPr>
        <w:t>EntryPoint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 is a singleton contract that acts as a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central entity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for all ERC-4337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  <w:bdr w:val="none" w:sz="0" w:space="0" w:color="auto" w:frame="1"/>
        </w:rPr>
        <w:t>Smart Account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and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  <w:bdr w:val="none" w:sz="0" w:space="0" w:color="auto" w:frame="1"/>
        </w:rPr>
        <w:t>Paymaster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. It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coordinates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the verification and execution of a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bdr w:val="none" w:sz="0" w:space="0" w:color="auto" w:frame="1"/>
        </w:rPr>
        <w:t>User Operation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. For this reason, it's important for all implementations of an 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bdr w:val="none" w:sz="0" w:space="0" w:color="auto" w:frame="1"/>
        </w:rPr>
        <w:t>EntryPoint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 to be audited and immutable.</w:t>
      </w:r>
    </w:p>
    <w:p w14:paraId="22E83439" w14:textId="6971CEE6" w:rsidR="00F2663B" w:rsidRPr="00F2663B" w:rsidRDefault="00FB65C3" w:rsidP="00F2663B">
      <w:pPr>
        <w:widowControl/>
        <w:shd w:val="clear" w:color="auto" w:fill="FFFFFF"/>
        <w:spacing w:after="22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commentRangeStart w:id="2"/>
      <w:r w:rsidRPr="00FB65C3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lastRenderedPageBreak/>
        <w:drawing>
          <wp:inline distT="0" distB="0" distL="0" distR="0" wp14:anchorId="4E1B437E" wp14:editId="06F90EDF">
            <wp:extent cx="5064760" cy="8863330"/>
            <wp:effectExtent l="0" t="0" r="2540" b="0"/>
            <wp:docPr id="1511090145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90145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76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555D04">
        <w:rPr>
          <w:rStyle w:val="a7"/>
        </w:rPr>
        <w:commentReference w:id="2"/>
      </w:r>
    </w:p>
    <w:p w14:paraId="412839CA" w14:textId="77777777" w:rsidR="00F2663B" w:rsidRPr="00F2663B" w:rsidRDefault="00F2663B" w:rsidP="00F2663B">
      <w:pPr>
        <w:widowControl/>
        <w:shd w:val="clear" w:color="auto" w:fill="FFFFFF"/>
        <w:spacing w:after="22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lastRenderedPageBreak/>
        <w:t xml:space="preserve">The above sequence diagram shows how the 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EntryPoint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handles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 xml:space="preserve">a batch of 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UserOperations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sent by the Bundler. Essentially there are two phases:</w:t>
      </w:r>
    </w:p>
    <w:p w14:paraId="3F3DC503" w14:textId="77777777" w:rsidR="00F2663B" w:rsidRPr="00F2663B" w:rsidRDefault="00F2663B" w:rsidP="00F2663B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ind w:left="118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b/>
          <w:bCs/>
          <w:color w:val="384248"/>
          <w:kern w:val="0"/>
          <w:sz w:val="27"/>
          <w:szCs w:val="27"/>
          <w:highlight w:val="yellow"/>
        </w:rPr>
        <w:t>Verification</w:t>
      </w:r>
      <w:r w:rsidRPr="00F2663B">
        <w:rPr>
          <w:rFonts w:ascii="var(--markdown-font)" w:eastAsia="宋体" w:hAnsi="var(--markdown-font)" w:cs="Segoe UI"/>
          <w:b/>
          <w:bCs/>
          <w:color w:val="384248"/>
          <w:kern w:val="0"/>
          <w:sz w:val="27"/>
          <w:szCs w:val="27"/>
        </w:rPr>
        <w:t xml:space="preserve"> loop: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 Verifies that each 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UserOperation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is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valid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by </w:t>
      </w:r>
      <w:commentRangeStart w:id="3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 xml:space="preserve">checking </w:t>
      </w:r>
      <w:commentRangeEnd w:id="3"/>
      <w:r w:rsidR="006125F9">
        <w:rPr>
          <w:rStyle w:val="a7"/>
        </w:rPr>
        <w:commentReference w:id="3"/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it with both the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  <w:bdr w:val="none" w:sz="0" w:space="0" w:color="auto" w:frame="1"/>
        </w:rPr>
        <w:t>Smart Account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 and the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  <w:bdr w:val="none" w:sz="0" w:space="0" w:color="auto" w:frame="1"/>
        </w:rPr>
        <w:t>Paymaster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 contract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.</w:t>
      </w:r>
    </w:p>
    <w:p w14:paraId="3FBBDAA2" w14:textId="77777777" w:rsidR="00F2663B" w:rsidRPr="00F2663B" w:rsidRDefault="00F2663B" w:rsidP="00F2663B">
      <w:pPr>
        <w:widowControl/>
        <w:numPr>
          <w:ilvl w:val="0"/>
          <w:numId w:val="3"/>
        </w:numPr>
        <w:shd w:val="clear" w:color="auto" w:fill="FFFFFF"/>
        <w:spacing w:afterAutospacing="1"/>
        <w:ind w:left="118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b/>
          <w:bCs/>
          <w:color w:val="384248"/>
          <w:kern w:val="0"/>
          <w:sz w:val="27"/>
          <w:szCs w:val="27"/>
          <w:highlight w:val="yellow"/>
        </w:rPr>
        <w:t>Execution</w:t>
      </w:r>
      <w:r w:rsidRPr="00F2663B">
        <w:rPr>
          <w:rFonts w:ascii="var(--markdown-font)" w:eastAsia="宋体" w:hAnsi="var(--markdown-font)" w:cs="Segoe UI"/>
          <w:b/>
          <w:bCs/>
          <w:color w:val="384248"/>
          <w:kern w:val="0"/>
          <w:sz w:val="27"/>
          <w:szCs w:val="27"/>
        </w:rPr>
        <w:t xml:space="preserve"> loop: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 Sends the </w:t>
      </w:r>
      <w:proofErr w:type="spellStart"/>
      <w:r w:rsidRPr="00F2663B">
        <w:rPr>
          <w:rFonts w:ascii="宋体" w:eastAsia="宋体" w:hAnsi="宋体" w:cs="宋体"/>
          <w:color w:val="384248"/>
          <w:kern w:val="0"/>
          <w:sz w:val="19"/>
          <w:szCs w:val="19"/>
          <w:highlight w:val="yellow"/>
        </w:rPr>
        <w:t>callData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 in each 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UserOperation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to the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  <w:bdr w:val="none" w:sz="0" w:space="0" w:color="auto" w:frame="1"/>
        </w:rPr>
        <w:t>Smart Account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.</w:t>
      </w:r>
    </w:p>
    <w:p w14:paraId="24BF4AD3" w14:textId="77777777" w:rsidR="00F2663B" w:rsidRPr="00F2663B" w:rsidRDefault="00F2663B" w:rsidP="00F2663B">
      <w:pPr>
        <w:widowControl/>
        <w:shd w:val="clear" w:color="auto" w:fill="FFFFFF"/>
        <w:spacing w:after="22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The verification loop will also make sure that either the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bdr w:val="none" w:sz="0" w:space="0" w:color="auto" w:frame="1"/>
        </w:rPr>
        <w:t>Smart Account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 or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bdr w:val="none" w:sz="0" w:space="0" w:color="auto" w:frame="1"/>
        </w:rPr>
        <w:t>Paymaster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 contract can </w:t>
      </w:r>
      <w:commentRangeStart w:id="4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pay </w:t>
      </w:r>
      <w:commentRangeEnd w:id="4"/>
      <w:r w:rsidR="006125F9">
        <w:rPr>
          <w:rStyle w:val="a7"/>
        </w:rPr>
        <w:commentReference w:id="4"/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the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maximum gas cost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for each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bdr w:val="none" w:sz="0" w:space="0" w:color="auto" w:frame="1"/>
        </w:rPr>
        <w:t>User Operation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.</w:t>
      </w:r>
    </w:p>
    <w:p w14:paraId="59A64F8D" w14:textId="77777777" w:rsidR="00F2663B" w:rsidRPr="00F2663B" w:rsidRDefault="00F2663B" w:rsidP="00F2663B">
      <w:pPr>
        <w:widowControl/>
        <w:shd w:val="clear" w:color="auto" w:fill="FFFFFF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commentRangeStart w:id="5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Bundlers only check the verification phase.</w:t>
      </w:r>
      <w:commentRangeEnd w:id="5"/>
      <w:r w:rsidR="00AA3A1A">
        <w:rPr>
          <w:rStyle w:val="a7"/>
        </w:rPr>
        <w:commentReference w:id="5"/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Bundlers do not check if the </w:t>
      </w:r>
      <w:proofErr w:type="spellStart"/>
      <w:r w:rsidRPr="00F2663B">
        <w:rPr>
          <w:rFonts w:ascii="宋体" w:eastAsia="宋体" w:hAnsi="宋体" w:cs="宋体"/>
          <w:color w:val="384248"/>
          <w:kern w:val="0"/>
          <w:sz w:val="19"/>
          <w:szCs w:val="19"/>
        </w:rPr>
        <w:t>callData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 will fully execute.</w:t>
      </w:r>
    </w:p>
    <w:p w14:paraId="5C46B853" w14:textId="77777777" w:rsidR="00F2663B" w:rsidRPr="00F2663B" w:rsidRDefault="00F2663B" w:rsidP="00F2663B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var(--markdown-title-font)" w:eastAsia="宋体" w:hAnsi="var(--markdown-title-font)" w:cs="Segoe UI"/>
          <w:b/>
          <w:bCs/>
          <w:color w:val="384248"/>
          <w:kern w:val="0"/>
          <w:sz w:val="27"/>
          <w:szCs w:val="27"/>
        </w:rPr>
      </w:pPr>
      <w:r w:rsidRPr="00F2663B">
        <w:rPr>
          <w:rFonts w:ascii="var(--markdown-title-font)" w:eastAsia="宋体" w:hAnsi="var(--markdown-title-font)" w:cs="Segoe UI"/>
          <w:b/>
          <w:bCs/>
          <w:color w:val="384248"/>
          <w:kern w:val="0"/>
          <w:sz w:val="27"/>
          <w:szCs w:val="27"/>
          <w:highlight w:val="yellow"/>
        </w:rPr>
        <w:t>Smart Account</w:t>
      </w:r>
    </w:p>
    <w:p w14:paraId="201A3BC5" w14:textId="77777777" w:rsidR="00F2663B" w:rsidRPr="00F2663B" w:rsidRDefault="00F2663B" w:rsidP="00F2663B">
      <w:pPr>
        <w:widowControl/>
        <w:shd w:val="clear" w:color="auto" w:fill="FFFFFF"/>
        <w:spacing w:after="22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The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bdr w:val="none" w:sz="0" w:space="0" w:color="auto" w:frame="1"/>
        </w:rPr>
        <w:t>Smart Account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 is an end user's account. At minimum it needs to check whether or not it will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accept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a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bdr w:val="none" w:sz="0" w:space="0" w:color="auto" w:frame="1"/>
        </w:rPr>
        <w:t>User Operation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 during the verification loop.</w:t>
      </w:r>
    </w:p>
    <w:p w14:paraId="2973B275" w14:textId="77777777" w:rsidR="00F2663B" w:rsidRPr="00F2663B" w:rsidRDefault="00F2663B" w:rsidP="00F2663B">
      <w:pPr>
        <w:widowControl/>
        <w:shd w:val="clear" w:color="auto" w:fill="FFFFFF"/>
        <w:spacing w:after="22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Additional features to support other account functions like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social recovery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and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multi-operations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can be added here too.</w:t>
      </w:r>
    </w:p>
    <w:p w14:paraId="56920DB1" w14:textId="77777777" w:rsidR="00F2663B" w:rsidRPr="00F2663B" w:rsidRDefault="00F2663B" w:rsidP="00F2663B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var(--markdown-title-font)" w:eastAsia="宋体" w:hAnsi="var(--markdown-title-font)" w:cs="Segoe UI"/>
          <w:b/>
          <w:bCs/>
          <w:color w:val="384248"/>
          <w:kern w:val="0"/>
          <w:sz w:val="27"/>
          <w:szCs w:val="27"/>
        </w:rPr>
      </w:pPr>
      <w:r w:rsidRPr="00F2663B">
        <w:rPr>
          <w:rFonts w:ascii="var(--markdown-title-font)" w:eastAsia="宋体" w:hAnsi="var(--markdown-title-font)" w:cs="Segoe UI"/>
          <w:b/>
          <w:bCs/>
          <w:color w:val="384248"/>
          <w:kern w:val="0"/>
          <w:sz w:val="27"/>
          <w:szCs w:val="27"/>
          <w:highlight w:val="yellow"/>
        </w:rPr>
        <w:lastRenderedPageBreak/>
        <w:t>Paymaster</w:t>
      </w:r>
    </w:p>
    <w:p w14:paraId="3C241B50" w14:textId="77777777" w:rsidR="00F2663B" w:rsidRPr="00F2663B" w:rsidRDefault="00F2663B" w:rsidP="00F2663B">
      <w:pPr>
        <w:widowControl/>
        <w:shd w:val="clear" w:color="auto" w:fill="FFFFFF"/>
        <w:spacing w:after="22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The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bdr w:val="none" w:sz="0" w:space="0" w:color="auto" w:frame="1"/>
        </w:rPr>
        <w:t>Paymaster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 is an entity that is able to sponsor the gas fees of a 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UserOperation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. It is required to do two things:</w:t>
      </w:r>
    </w:p>
    <w:p w14:paraId="5038A800" w14:textId="77777777" w:rsidR="00F2663B" w:rsidRPr="00F2663B" w:rsidRDefault="00F2663B" w:rsidP="00F2663B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ind w:left="118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Check whether or not it will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accept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a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bdr w:val="none" w:sz="0" w:space="0" w:color="auto" w:frame="1"/>
        </w:rPr>
        <w:t>User Operation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 during the verification loop.</w:t>
      </w:r>
    </w:p>
    <w:p w14:paraId="2891DCF8" w14:textId="77777777" w:rsidR="00F2663B" w:rsidRPr="00F2663B" w:rsidRDefault="00F2663B" w:rsidP="00F2663B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ind w:left="118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Run any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required fee logic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in the execution loop.</w:t>
      </w:r>
    </w:p>
    <w:p w14:paraId="7ED6EF2E" w14:textId="77777777" w:rsidR="00F2663B" w:rsidRPr="00F2663B" w:rsidRDefault="00F2663B" w:rsidP="00F2663B">
      <w:pPr>
        <w:widowControl/>
        <w:shd w:val="clear" w:color="auto" w:fill="FFFFFF"/>
        <w:spacing w:after="22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An </w:t>
      </w:r>
      <w:commentRangeStart w:id="6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example </w:t>
      </w:r>
      <w:commentRangeEnd w:id="6"/>
      <w:r w:rsidR="00965F3F">
        <w:rPr>
          <w:rStyle w:val="a7"/>
        </w:rPr>
        <w:commentReference w:id="6"/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of Paymaster logic could be to withdraw a certain </w:t>
      </w:r>
      <w:proofErr w:type="gram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amount</w:t>
      </w:r>
      <w:proofErr w:type="gram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of ERC-20 tokens from the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bdr w:val="none" w:sz="0" w:space="0" w:color="auto" w:frame="1"/>
        </w:rPr>
        <w:t>Smart Account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 after the 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UserOperation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is executed. This allows users to pay for gas in any currency they choose.</w:t>
      </w:r>
    </w:p>
    <w:p w14:paraId="16A2B6CB" w14:textId="77777777" w:rsidR="00F2663B" w:rsidRPr="00F2663B" w:rsidRDefault="00F2663B" w:rsidP="00F2663B">
      <w:pPr>
        <w:widowControl/>
        <w:shd w:val="clear" w:color="auto" w:fill="FFFFFF"/>
        <w:spacing w:before="100" w:beforeAutospacing="1" w:after="100" w:afterAutospacing="1"/>
        <w:jc w:val="left"/>
        <w:outlineLvl w:val="2"/>
        <w:rPr>
          <w:rFonts w:ascii="var(--markdown-title-font)" w:eastAsia="宋体" w:hAnsi="var(--markdown-title-font)" w:cs="Segoe UI"/>
          <w:b/>
          <w:bCs/>
          <w:color w:val="384248"/>
          <w:kern w:val="0"/>
          <w:sz w:val="27"/>
          <w:szCs w:val="27"/>
        </w:rPr>
      </w:pPr>
      <w:r w:rsidRPr="00F2663B">
        <w:rPr>
          <w:rFonts w:ascii="var(--markdown-title-font)" w:eastAsia="宋体" w:hAnsi="var(--markdown-title-font)" w:cs="Segoe UI"/>
          <w:b/>
          <w:bCs/>
          <w:color w:val="384248"/>
          <w:kern w:val="0"/>
          <w:sz w:val="27"/>
          <w:szCs w:val="27"/>
          <w:highlight w:val="yellow"/>
        </w:rPr>
        <w:t>Aggregator</w:t>
      </w:r>
    </w:p>
    <w:p w14:paraId="7B4B3F9E" w14:textId="77777777" w:rsidR="00F2663B" w:rsidRPr="00F2663B" w:rsidRDefault="00F2663B" w:rsidP="00F2663B">
      <w:pPr>
        <w:widowControl/>
        <w:shd w:val="clear" w:color="auto" w:fill="FFFFFF"/>
        <w:spacing w:after="22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The 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bdr w:val="none" w:sz="0" w:space="0" w:color="auto" w:frame="1"/>
        </w:rPr>
        <w:t>Aggregator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 is an entity that is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trusted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by Contract Accounts to 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  <w:highlight w:val="yellow"/>
        </w:rPr>
        <w:t>validate signatures</w:t>
      </w: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. They are often used to aggregate signatures from multiple </w:t>
      </w:r>
      <w:proofErr w:type="spellStart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UserOperations</w:t>
      </w:r>
      <w:proofErr w:type="spellEnd"/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 xml:space="preserve"> together.</w:t>
      </w:r>
    </w:p>
    <w:p w14:paraId="10D4813E" w14:textId="77777777" w:rsidR="00F2663B" w:rsidRPr="00F2663B" w:rsidRDefault="00F2663B" w:rsidP="00F2663B">
      <w:pPr>
        <w:widowControl/>
        <w:shd w:val="clear" w:color="auto" w:fill="FFFFFF"/>
        <w:spacing w:before="100" w:beforeAutospacing="1" w:after="100" w:afterAutospacing="1"/>
        <w:jc w:val="left"/>
        <w:outlineLvl w:val="1"/>
        <w:rPr>
          <w:rFonts w:ascii="var(--markdown-title-font)" w:eastAsia="宋体" w:hAnsi="var(--markdown-title-font)" w:cs="Segoe UI"/>
          <w:b/>
          <w:bCs/>
          <w:color w:val="384248"/>
          <w:kern w:val="0"/>
          <w:sz w:val="36"/>
          <w:szCs w:val="36"/>
        </w:rPr>
      </w:pPr>
      <w:r w:rsidRPr="00F2663B">
        <w:rPr>
          <w:rFonts w:ascii="var(--markdown-title-font)" w:eastAsia="宋体" w:hAnsi="var(--markdown-title-font)" w:cs="Segoe UI"/>
          <w:b/>
          <w:bCs/>
          <w:color w:val="384248"/>
          <w:kern w:val="0"/>
          <w:sz w:val="36"/>
          <w:szCs w:val="36"/>
        </w:rPr>
        <w:t>Summary</w:t>
      </w:r>
    </w:p>
    <w:p w14:paraId="436EF047" w14:textId="77777777" w:rsidR="00F2663B" w:rsidRPr="00F2663B" w:rsidRDefault="00F2663B" w:rsidP="00F2663B">
      <w:pPr>
        <w:widowControl/>
        <w:shd w:val="clear" w:color="auto" w:fill="FFFFFF"/>
        <w:spacing w:after="225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F2663B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t>Here's a single figure that summarizes how ERC-4337 works:</w:t>
      </w:r>
    </w:p>
    <w:p w14:paraId="1204BBF2" w14:textId="294BDE43" w:rsidR="00F2663B" w:rsidRPr="00F2663B" w:rsidRDefault="00965F3F" w:rsidP="00F2663B">
      <w:pPr>
        <w:widowControl/>
        <w:shd w:val="clear" w:color="auto" w:fill="FFFFFF"/>
        <w:jc w:val="left"/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</w:pPr>
      <w:r w:rsidRPr="00965F3F">
        <w:rPr>
          <w:rFonts w:ascii="var(--markdown-font)" w:eastAsia="宋体" w:hAnsi="var(--markdown-font)" w:cs="Segoe UI"/>
          <w:color w:val="384248"/>
          <w:kern w:val="0"/>
          <w:sz w:val="27"/>
          <w:szCs w:val="27"/>
        </w:rPr>
        <w:lastRenderedPageBreak/>
        <w:drawing>
          <wp:inline distT="0" distB="0" distL="0" distR="0" wp14:anchorId="5E9A6DC8" wp14:editId="66B8C77A">
            <wp:extent cx="5274310" cy="6428105"/>
            <wp:effectExtent l="0" t="0" r="2540" b="0"/>
            <wp:docPr id="2084485810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85810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AF8D2" w14:textId="77777777" w:rsidR="00F2663B" w:rsidRPr="00F2663B" w:rsidRDefault="00F2663B" w:rsidP="00F2663B">
      <w:pPr>
        <w:widowControl/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384248"/>
          <w:kern w:val="0"/>
          <w:sz w:val="20"/>
          <w:szCs w:val="20"/>
        </w:rPr>
      </w:pPr>
      <w:r w:rsidRPr="00F2663B">
        <w:rPr>
          <w:rFonts w:ascii="Segoe UI" w:eastAsia="宋体" w:hAnsi="Segoe UI" w:cs="Segoe UI"/>
          <w:color w:val="384248"/>
          <w:kern w:val="0"/>
          <w:sz w:val="20"/>
          <w:szCs w:val="20"/>
        </w:rPr>
        <w:t>Updated 3 days ago</w:t>
      </w:r>
    </w:p>
    <w:p w14:paraId="363934E0" w14:textId="77777777" w:rsidR="00C91017" w:rsidRDefault="00C91017"/>
    <w:sectPr w:rsidR="00C910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科 林" w:date="2023-10-20T17:40:00Z" w:initials="科林">
    <w:p w14:paraId="47DA90D8" w14:textId="77777777" w:rsidR="00E95784" w:rsidRDefault="00E95784" w:rsidP="00FE2E43">
      <w:pPr>
        <w:pStyle w:val="a8"/>
      </w:pPr>
      <w:r>
        <w:rPr>
          <w:rStyle w:val="a7"/>
        </w:rPr>
        <w:annotationRef/>
      </w:r>
      <w:r>
        <w:t>这是用户给bundler的额外的费用，作为bundler的收益。</w:t>
      </w:r>
    </w:p>
  </w:comment>
  <w:comment w:id="1" w:author="科 林" w:date="2023-10-20T17:41:00Z" w:initials="科林">
    <w:p w14:paraId="017876AD" w14:textId="77777777" w:rsidR="00E95784" w:rsidRDefault="00E95784" w:rsidP="00F338EC">
      <w:pPr>
        <w:pStyle w:val="a8"/>
      </w:pPr>
      <w:r>
        <w:rPr>
          <w:rStyle w:val="a7"/>
        </w:rPr>
        <w:annotationRef/>
      </w:r>
      <w:r>
        <w:t>具体怎么生成？有什么标准没有？</w:t>
      </w:r>
    </w:p>
  </w:comment>
  <w:comment w:id="2" w:author="科 林" w:date="2023-10-20T17:56:00Z" w:initials="科林">
    <w:p w14:paraId="2AC28172" w14:textId="77777777" w:rsidR="00AA3A1A" w:rsidRDefault="00555D04">
      <w:pPr>
        <w:pStyle w:val="a8"/>
      </w:pPr>
      <w:r>
        <w:rPr>
          <w:rStyle w:val="a7"/>
        </w:rPr>
        <w:annotationRef/>
      </w:r>
      <w:r w:rsidR="00AA3A1A">
        <w:t>关键信息：</w:t>
      </w:r>
    </w:p>
    <w:p w14:paraId="02ECB22F" w14:textId="77777777" w:rsidR="00AA3A1A" w:rsidRDefault="00AA3A1A">
      <w:pPr>
        <w:pStyle w:val="a8"/>
      </w:pPr>
      <w:r>
        <w:t>1.如果没有paymaster，首先检查合约账户是否在EntryPoint中存了足够的gas费，如果没有，就从合约账户转本次maximum gas cost到EntryPoint。</w:t>
      </w:r>
    </w:p>
    <w:p w14:paraId="4D7C584A" w14:textId="77777777" w:rsidR="00AA3A1A" w:rsidRDefault="00AA3A1A">
      <w:pPr>
        <w:pStyle w:val="a8"/>
      </w:pPr>
      <w:r>
        <w:t>2.如果有paymaster，首先检查paymaster合约是否在EntryPoint中存了足够的gas费，如果没有，就失败。然后再判断paymaster是否愿意帮此用户支付gas费。</w:t>
      </w:r>
    </w:p>
    <w:p w14:paraId="3489AECF" w14:textId="77777777" w:rsidR="00AA3A1A" w:rsidRDefault="00AA3A1A" w:rsidP="00E97293">
      <w:pPr>
        <w:pStyle w:val="a8"/>
      </w:pPr>
      <w:r>
        <w:t>3.如果有paymaster，在执行阶段还需要执行paymaster里面的自定义fee逻辑。</w:t>
      </w:r>
    </w:p>
  </w:comment>
  <w:comment w:id="3" w:author="科 林" w:date="2023-10-20T17:48:00Z" w:initials="科林">
    <w:p w14:paraId="421E5BA8" w14:textId="4E36114F" w:rsidR="006125F9" w:rsidRDefault="006125F9">
      <w:pPr>
        <w:pStyle w:val="a8"/>
      </w:pPr>
      <w:r>
        <w:rPr>
          <w:rStyle w:val="a7"/>
        </w:rPr>
        <w:annotationRef/>
      </w:r>
      <w:r>
        <w:t>这句话很关键：</w:t>
      </w:r>
    </w:p>
    <w:p w14:paraId="21AF0AEF" w14:textId="77777777" w:rsidR="006125F9" w:rsidRDefault="006125F9">
      <w:pPr>
        <w:pStyle w:val="a8"/>
      </w:pPr>
      <w:r>
        <w:t>如果指定了paymaster合约，就需要合约账户和paymaster合约都验证合法性。</w:t>
      </w:r>
    </w:p>
    <w:p w14:paraId="0A71C41C" w14:textId="77777777" w:rsidR="006125F9" w:rsidRDefault="006125F9" w:rsidP="006C2839">
      <w:pPr>
        <w:pStyle w:val="a8"/>
      </w:pPr>
      <w:r>
        <w:t>如果未指定paymaster合约，只需要合约账户验证合法性。</w:t>
      </w:r>
    </w:p>
  </w:comment>
  <w:comment w:id="4" w:author="科 林" w:date="2023-10-20T17:49:00Z" w:initials="科林">
    <w:p w14:paraId="694180A5" w14:textId="77777777" w:rsidR="006125F9" w:rsidRDefault="006125F9" w:rsidP="00C67ADA">
      <w:pPr>
        <w:pStyle w:val="a8"/>
      </w:pPr>
      <w:r>
        <w:rPr>
          <w:rStyle w:val="a7"/>
        </w:rPr>
        <w:annotationRef/>
      </w:r>
      <w:r>
        <w:t>gas费要么由合约账户出，要么由paymaster合约出。</w:t>
      </w:r>
    </w:p>
  </w:comment>
  <w:comment w:id="5" w:author="科 林" w:date="2023-10-20T18:01:00Z" w:initials="科林">
    <w:p w14:paraId="0B42EAA7" w14:textId="77777777" w:rsidR="00AA3A1A" w:rsidRDefault="00AA3A1A" w:rsidP="004000A8">
      <w:pPr>
        <w:pStyle w:val="a8"/>
      </w:pPr>
      <w:r>
        <w:rPr>
          <w:rStyle w:val="a7"/>
        </w:rPr>
        <w:annotationRef/>
      </w:r>
      <w:r>
        <w:t>这句话指的应该是bundler的simulation，只检查verification阶段。</w:t>
      </w:r>
    </w:p>
  </w:comment>
  <w:comment w:id="6" w:author="科 林" w:date="2023-10-20T18:09:00Z" w:initials="科林">
    <w:p w14:paraId="653CD30E" w14:textId="77777777" w:rsidR="00965F3F" w:rsidRDefault="00965F3F">
      <w:pPr>
        <w:pStyle w:val="a8"/>
      </w:pPr>
      <w:r>
        <w:rPr>
          <w:rStyle w:val="a7"/>
        </w:rPr>
        <w:annotationRef/>
      </w:r>
      <w:r>
        <w:t>Paymaster逻辑的一个例子可以是在UserOperation执行后从用户的智能合约账户中提取一定数量的ERC-20代币。这使得用户可以用他们选择的任何货币支付gas费用。</w:t>
      </w:r>
    </w:p>
    <w:p w14:paraId="59C97BEB" w14:textId="77777777" w:rsidR="00965F3F" w:rsidRDefault="00965F3F" w:rsidP="00173A8F">
      <w:pPr>
        <w:pStyle w:val="a8"/>
      </w:pPr>
      <w:r>
        <w:t>总结：paymaster支付ETH，然后从用户合约账户那里收ERC20。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7DA90D8" w15:done="0"/>
  <w15:commentEx w15:paraId="017876AD" w15:done="0"/>
  <w15:commentEx w15:paraId="3489AECF" w15:done="0"/>
  <w15:commentEx w15:paraId="0A71C41C" w15:done="0"/>
  <w15:commentEx w15:paraId="694180A5" w15:done="0"/>
  <w15:commentEx w15:paraId="0B42EAA7" w15:done="0"/>
  <w15:commentEx w15:paraId="59C97BE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C49F228" w16cex:dateUtc="2023-10-20T09:40:00Z"/>
  <w16cex:commentExtensible w16cex:durableId="2BB240BA" w16cex:dateUtc="2023-10-20T09:41:00Z"/>
  <w16cex:commentExtensible w16cex:durableId="5CA662F4" w16cex:dateUtc="2023-10-20T09:56:00Z"/>
  <w16cex:commentExtensible w16cex:durableId="183BC291" w16cex:dateUtc="2023-10-20T09:48:00Z"/>
  <w16cex:commentExtensible w16cex:durableId="7A5D4F85" w16cex:dateUtc="2023-10-20T09:49:00Z"/>
  <w16cex:commentExtensible w16cex:durableId="5170F3AE" w16cex:dateUtc="2023-10-20T10:01:00Z"/>
  <w16cex:commentExtensible w16cex:durableId="41643CB3" w16cex:dateUtc="2023-10-20T10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7DA90D8" w16cid:durableId="2C49F228"/>
  <w16cid:commentId w16cid:paraId="017876AD" w16cid:durableId="2BB240BA"/>
  <w16cid:commentId w16cid:paraId="3489AECF" w16cid:durableId="5CA662F4"/>
  <w16cid:commentId w16cid:paraId="0A71C41C" w16cid:durableId="183BC291"/>
  <w16cid:commentId w16cid:paraId="694180A5" w16cid:durableId="7A5D4F85"/>
  <w16cid:commentId w16cid:paraId="0B42EAA7" w16cid:durableId="5170F3AE"/>
  <w16cid:commentId w16cid:paraId="59C97BEB" w16cid:durableId="41643CB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var(--markdown-font)">
    <w:altName w:val="Cambria"/>
    <w:panose1 w:val="00000000000000000000"/>
    <w:charset w:val="00"/>
    <w:family w:val="roman"/>
    <w:notTrueType/>
    <w:pitch w:val="default"/>
  </w:font>
  <w:font w:name="var(--markdown-title-font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A7655"/>
    <w:multiLevelType w:val="multilevel"/>
    <w:tmpl w:val="BE068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D044CD"/>
    <w:multiLevelType w:val="multilevel"/>
    <w:tmpl w:val="5DB8F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6573E1"/>
    <w:multiLevelType w:val="multilevel"/>
    <w:tmpl w:val="7E283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DF1C63"/>
    <w:multiLevelType w:val="multilevel"/>
    <w:tmpl w:val="6896B2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3571126">
    <w:abstractNumId w:val="2"/>
  </w:num>
  <w:num w:numId="2" w16cid:durableId="446898017">
    <w:abstractNumId w:val="0"/>
  </w:num>
  <w:num w:numId="3" w16cid:durableId="655033523">
    <w:abstractNumId w:val="3"/>
  </w:num>
  <w:num w:numId="4" w16cid:durableId="849030470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科 林">
    <w15:presenceInfo w15:providerId="Windows Live" w15:userId="3dc8772572cb2e5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68B"/>
    <w:rsid w:val="00003339"/>
    <w:rsid w:val="00555D04"/>
    <w:rsid w:val="006125F9"/>
    <w:rsid w:val="00670EFD"/>
    <w:rsid w:val="00965F3F"/>
    <w:rsid w:val="00AA3A1A"/>
    <w:rsid w:val="00AD768B"/>
    <w:rsid w:val="00BC50B8"/>
    <w:rsid w:val="00C91017"/>
    <w:rsid w:val="00E95784"/>
    <w:rsid w:val="00F2663B"/>
    <w:rsid w:val="00FB6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B24F63-E9D3-4BAD-9F77-D936FE69C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2663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F2663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F2663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2663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F2663B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F2663B"/>
    <w:rPr>
      <w:rFonts w:ascii="宋体" w:eastAsia="宋体" w:hAnsi="宋体" w:cs="宋体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F266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F2663B"/>
    <w:rPr>
      <w:color w:val="0000FF"/>
      <w:u w:val="single"/>
    </w:rPr>
  </w:style>
  <w:style w:type="paragraph" w:customStyle="1" w:styleId="callout-heading">
    <w:name w:val="callout-heading"/>
    <w:basedOn w:val="a"/>
    <w:rsid w:val="00F266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allout-icon">
    <w:name w:val="callout-icon"/>
    <w:basedOn w:val="a0"/>
    <w:rsid w:val="00F2663B"/>
  </w:style>
  <w:style w:type="character" w:customStyle="1" w:styleId="glossaryitem-trigger">
    <w:name w:val="glossaryitem-trigger"/>
    <w:basedOn w:val="a0"/>
    <w:rsid w:val="00F2663B"/>
  </w:style>
  <w:style w:type="character" w:styleId="a5">
    <w:name w:val="Emphasis"/>
    <w:basedOn w:val="a0"/>
    <w:uiPriority w:val="20"/>
    <w:qFormat/>
    <w:rsid w:val="00F2663B"/>
    <w:rPr>
      <w:i/>
      <w:iCs/>
    </w:rPr>
  </w:style>
  <w:style w:type="character" w:customStyle="1" w:styleId="cm-s-neo">
    <w:name w:val="cm-s-neo"/>
    <w:basedOn w:val="a0"/>
    <w:rsid w:val="00F2663B"/>
  </w:style>
  <w:style w:type="character" w:styleId="a6">
    <w:name w:val="Strong"/>
    <w:basedOn w:val="a0"/>
    <w:uiPriority w:val="22"/>
    <w:qFormat/>
    <w:rsid w:val="00F2663B"/>
    <w:rPr>
      <w:b/>
      <w:bCs/>
    </w:rPr>
  </w:style>
  <w:style w:type="paragraph" w:customStyle="1" w:styleId="dateline">
    <w:name w:val="dateline"/>
    <w:basedOn w:val="a"/>
    <w:rsid w:val="00F266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annotation reference"/>
    <w:basedOn w:val="a0"/>
    <w:uiPriority w:val="99"/>
    <w:semiHidden/>
    <w:unhideWhenUsed/>
    <w:rsid w:val="00E95784"/>
    <w:rPr>
      <w:sz w:val="21"/>
      <w:szCs w:val="21"/>
    </w:rPr>
  </w:style>
  <w:style w:type="paragraph" w:styleId="a8">
    <w:name w:val="annotation text"/>
    <w:basedOn w:val="a"/>
    <w:link w:val="a9"/>
    <w:uiPriority w:val="99"/>
    <w:unhideWhenUsed/>
    <w:rsid w:val="00E95784"/>
    <w:pPr>
      <w:jc w:val="left"/>
    </w:pPr>
  </w:style>
  <w:style w:type="character" w:customStyle="1" w:styleId="a9">
    <w:name w:val="批注文字 字符"/>
    <w:basedOn w:val="a0"/>
    <w:link w:val="a8"/>
    <w:uiPriority w:val="99"/>
    <w:rsid w:val="00E95784"/>
  </w:style>
  <w:style w:type="paragraph" w:styleId="aa">
    <w:name w:val="annotation subject"/>
    <w:basedOn w:val="a8"/>
    <w:next w:val="a8"/>
    <w:link w:val="ab"/>
    <w:uiPriority w:val="99"/>
    <w:semiHidden/>
    <w:unhideWhenUsed/>
    <w:rsid w:val="00E95784"/>
    <w:rPr>
      <w:b/>
      <w:bCs/>
    </w:rPr>
  </w:style>
  <w:style w:type="character" w:customStyle="1" w:styleId="ab">
    <w:name w:val="批注主题 字符"/>
    <w:basedOn w:val="a9"/>
    <w:link w:val="aa"/>
    <w:uiPriority w:val="99"/>
    <w:semiHidden/>
    <w:rsid w:val="00E9578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822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58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8912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24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61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1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877164">
              <w:marLeft w:val="46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15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5074">
                  <w:blockQuote w:val="1"/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single" w:sz="24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1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551839">
                  <w:blockQuote w:val="1"/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single" w:sz="24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8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630945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768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55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0074">
                  <w:blockQuote w:val="1"/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single" w:sz="24" w:space="0" w:color="auto"/>
                    <w:bottom w:val="none" w:sz="0" w:space="0" w:color="auto"/>
                    <w:right w:val="none" w:sz="0" w:space="0" w:color="auto"/>
                  </w:divBdr>
                </w:div>
                <w:div w:id="838734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6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08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2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322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5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3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18/08/relationships/commentsExtensible" Target="commentsExtensible.xm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svg"/><Relationship Id="rId1" Type="http://schemas.openxmlformats.org/officeDocument/2006/relationships/numbering" Target="numbering.xml"/><Relationship Id="rId6" Type="http://schemas.openxmlformats.org/officeDocument/2006/relationships/hyperlink" Target="https://eips.ethereum.org/EIPS/eip-4337" TargetMode="External"/><Relationship Id="rId11" Type="http://schemas.microsoft.com/office/2016/09/relationships/commentsIds" Target="commentsIds.xml"/><Relationship Id="rId5" Type="http://schemas.openxmlformats.org/officeDocument/2006/relationships/hyperlink" Target="https://docs.stackup.sh/edit/erc-4337-overview" TargetMode="External"/><Relationship Id="rId15" Type="http://schemas.openxmlformats.org/officeDocument/2006/relationships/image" Target="media/image5.png"/><Relationship Id="rId10" Type="http://schemas.microsoft.com/office/2011/relationships/commentsExtended" Target="commentsExtended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omments" Target="comments.xml"/><Relationship Id="rId14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9</Pages>
  <Words>789</Words>
  <Characters>4499</Characters>
  <Application>Microsoft Office Word</Application>
  <DocSecurity>0</DocSecurity>
  <Lines>37</Lines>
  <Paragraphs>10</Paragraphs>
  <ScaleCrop>false</ScaleCrop>
  <Company/>
  <LinksUpToDate>false</LinksUpToDate>
  <CharactersWithSpaces>5278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科 林</dc:creator>
  <cp:keywords/>
  <dc:description/>
  <cp:lastModifiedBy>科 林</cp:lastModifiedBy>
  <cp:revision>14</cp:revision>
  <dcterms:created xsi:type="dcterms:W3CDTF">2023-10-20T09:31:00Z</dcterms:created>
  <dcterms:modified xsi:type="dcterms:W3CDTF">2023-10-20T10:09:00Z</dcterms:modified>
</cp:coreProperties>
</file>