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5B8C" w14:textId="77777777" w:rsidR="00B13B56" w:rsidRPr="00B13B56" w:rsidRDefault="00B13B56" w:rsidP="00B13B56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6"/>
          <w:szCs w:val="46"/>
        </w:rPr>
      </w:pPr>
      <w:commentRangeStart w:id="0"/>
      <w:r w:rsidRPr="00B13B56">
        <w:rPr>
          <w:rFonts w:ascii="宋体" w:eastAsia="宋体" w:hAnsi="宋体" w:cs="宋体"/>
          <w:b/>
          <w:bCs/>
          <w:kern w:val="36"/>
          <w:sz w:val="46"/>
          <w:szCs w:val="46"/>
        </w:rPr>
        <w:t xml:space="preserve">Entity </w:t>
      </w:r>
      <w:commentRangeEnd w:id="0"/>
      <w:r>
        <w:rPr>
          <w:rStyle w:val="a6"/>
        </w:rPr>
        <w:commentReference w:id="0"/>
      </w:r>
      <w:r w:rsidRPr="00B13B56">
        <w:rPr>
          <w:rFonts w:ascii="宋体" w:eastAsia="宋体" w:hAnsi="宋体" w:cs="宋体"/>
          <w:b/>
          <w:bCs/>
          <w:kern w:val="36"/>
          <w:sz w:val="46"/>
          <w:szCs w:val="46"/>
        </w:rPr>
        <w:t>Addresses</w:t>
      </w:r>
    </w:p>
    <w:p w14:paraId="32ADC009" w14:textId="77777777" w:rsidR="00B13B56" w:rsidRPr="00B13B56" w:rsidRDefault="00B13B56" w:rsidP="00B13B56">
      <w:pPr>
        <w:widowControl/>
        <w:jc w:val="left"/>
        <w:rPr>
          <w:rFonts w:ascii="var(--markdown-font)" w:eastAsia="宋体" w:hAnsi="var(--markdown-font)" w:cs="宋体"/>
          <w:kern w:val="0"/>
          <w:sz w:val="27"/>
          <w:szCs w:val="27"/>
        </w:rPr>
      </w:pPr>
      <w:r w:rsidRPr="00B13B56">
        <w:rPr>
          <w:rFonts w:ascii="var(--markdown-font)" w:eastAsia="宋体" w:hAnsi="var(--markdown-font)" w:cs="宋体"/>
          <w:kern w:val="0"/>
          <w:sz w:val="27"/>
          <w:szCs w:val="27"/>
        </w:rPr>
        <w:t>A reference to related ERC-4337 addresses.</w:t>
      </w:r>
    </w:p>
    <w:p w14:paraId="4EACD942" w14:textId="77777777" w:rsidR="00B13B56" w:rsidRPr="00B13B56" w:rsidRDefault="00B13B56" w:rsidP="00B13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self" w:history="1">
        <w:r w:rsidRPr="00B13B56">
          <w:rPr>
            <w:rFonts w:ascii="宋体" w:eastAsia="宋体" w:hAnsi="宋体" w:cs="宋体"/>
            <w:color w:val="0000FF"/>
            <w:kern w:val="0"/>
            <w:sz w:val="20"/>
            <w:szCs w:val="20"/>
            <w:u w:val="single"/>
          </w:rPr>
          <w:t>Suggest Edits</w:t>
        </w:r>
      </w:hyperlink>
    </w:p>
    <w:p w14:paraId="58179776" w14:textId="77777777" w:rsidR="00B13B56" w:rsidRPr="00B13B56" w:rsidRDefault="00B13B56" w:rsidP="00B13B56">
      <w:pPr>
        <w:widowControl/>
        <w:shd w:val="clear" w:color="auto" w:fill="FFFFFF"/>
        <w:spacing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proofErr w:type="spellStart"/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bdr w:val="none" w:sz="0" w:space="0" w:color="auto" w:frame="1"/>
        </w:rPr>
        <w:t>EntryPoint</w:t>
      </w:r>
      <w:proofErr w:type="spellEnd"/>
    </w:p>
    <w:p w14:paraId="1C1A6595" w14:textId="77777777" w:rsidR="00B13B56" w:rsidRPr="00B13B56" w:rsidRDefault="00B13B56" w:rsidP="00B13B56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The 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EntryPoint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address is the 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same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on all EVM networks.</w:t>
      </w:r>
    </w:p>
    <w:tbl>
      <w:tblPr>
        <w:tblW w:w="99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1230"/>
        <w:gridCol w:w="1635"/>
        <w:gridCol w:w="1683"/>
      </w:tblGrid>
      <w:tr w:rsidR="00B13B56" w:rsidRPr="00B13B56" w14:paraId="0F05B83C" w14:textId="77777777" w:rsidTr="00B13B56">
        <w:trPr>
          <w:trHeight w:val="281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7C531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4CE42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Commit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96B33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Stackup</w:t>
            </w:r>
            <w:proofErr w:type="spellEnd"/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Bundler Version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290B2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Audited</w:t>
            </w:r>
          </w:p>
        </w:tc>
      </w:tr>
      <w:tr w:rsidR="00B13B56" w:rsidRPr="00B13B56" w14:paraId="5A96B03A" w14:textId="77777777" w:rsidTr="00B13B56">
        <w:trPr>
          <w:trHeight w:val="57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998C8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0x5FF137D4b0FDCD49DcA30c7CF57E578a026d2789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71954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9b5f2e4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3A233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v0.6.x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273F0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✅</w:t>
            </w: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2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April 2023</w:t>
              </w:r>
            </w:hyperlink>
          </w:p>
        </w:tc>
      </w:tr>
    </w:tbl>
    <w:p w14:paraId="61F38C97" w14:textId="77777777" w:rsidR="00B13B56" w:rsidRPr="00B13B56" w:rsidRDefault="00B13B56" w:rsidP="00B13B5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proofErr w:type="spellStart"/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Stackup</w:t>
      </w:r>
      <w:proofErr w:type="spellEnd"/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 xml:space="preserve"> Bundlers v0.6</w:t>
      </w:r>
    </w:p>
    <w:p w14:paraId="57656FCB" w14:textId="77777777" w:rsidR="00B13B56" w:rsidRPr="00B13B56" w:rsidRDefault="00B13B56" w:rsidP="00B13B56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These are the official </w:t>
      </w:r>
      <w:commentRangeStart w:id="1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Bundler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addresses</w:t>
      </w:r>
      <w:commentRangeEnd w:id="1"/>
      <w:r w:rsidR="00A2162A">
        <w:rPr>
          <w:rStyle w:val="a6"/>
        </w:rPr>
        <w:commentReference w:id="1"/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run by 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Stackup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that </w:t>
      </w:r>
      <w:commentRangeStart w:id="2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support </w:t>
      </w:r>
      <w:commentRangeEnd w:id="2"/>
      <w:r w:rsidR="00A2162A">
        <w:rPr>
          <w:rStyle w:val="a6"/>
        </w:rPr>
        <w:commentReference w:id="2"/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the </w:t>
      </w:r>
      <w:hyperlink r:id="rId13" w:tgtFrame="_self" w:history="1">
        <w:r w:rsidRPr="00B13B56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April 2023</w:t>
        </w:r>
      </w:hyperlink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audited 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EntryPoint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tbl>
      <w:tblPr>
        <w:tblW w:w="100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7"/>
        <w:gridCol w:w="2274"/>
      </w:tblGrid>
      <w:tr w:rsidR="00B13B56" w:rsidRPr="00B13B56" w14:paraId="5475F101" w14:textId="77777777" w:rsidTr="00A2162A">
        <w:trPr>
          <w:trHeight w:val="302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EB102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99A01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Notes</w:t>
            </w:r>
          </w:p>
        </w:tc>
      </w:tr>
      <w:tr w:rsidR="00B13B56" w:rsidRPr="00B13B56" w14:paraId="7DCA935E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B88A2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0x25Df024637d4e56c1aE9563987Bf3e92C9f534c0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57D74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Deprecated</w:t>
            </w:r>
          </w:p>
        </w:tc>
      </w:tr>
      <w:tr w:rsidR="00B13B56" w:rsidRPr="00B13B56" w14:paraId="53DCCCB9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4813F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0x6892BEF4aE1b5cb33F9A175Ab822518c9025fc3C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F30B7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01</w:t>
            </w:r>
          </w:p>
        </w:tc>
      </w:tr>
      <w:tr w:rsidR="00B13B56" w:rsidRPr="00B13B56" w14:paraId="3C315B9C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6B2F1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0xFd72Ae8Ff5CC18849D83f13A252A0D8fd99Eb0AC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BAA4F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02</w:t>
            </w:r>
          </w:p>
        </w:tc>
      </w:tr>
      <w:tr w:rsidR="00B13B56" w:rsidRPr="00B13B56" w14:paraId="13266A41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45161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0x9831d6f598729bF41055A0AF96396CEa91Eab18B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CAAE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03</w:t>
            </w:r>
          </w:p>
        </w:tc>
      </w:tr>
      <w:tr w:rsidR="00B13B56" w:rsidRPr="00B13B56" w14:paraId="71287C3D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6E899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0x20e9695f25413f14e5807b530D0698bd4F155074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61D22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04</w:t>
            </w:r>
          </w:p>
        </w:tc>
      </w:tr>
      <w:tr w:rsidR="00B13B56" w:rsidRPr="00B13B56" w14:paraId="2FC54E66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316AA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0x65c51459258464020e850FBa27B427BD708da638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93DD0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05</w:t>
            </w:r>
          </w:p>
        </w:tc>
      </w:tr>
      <w:tr w:rsidR="00B13B56" w:rsidRPr="00B13B56" w14:paraId="410335FA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D6005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0x226A22889b7f842FB1426B3e81130b461AbdA8A5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965CC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06</w:t>
            </w:r>
          </w:p>
        </w:tc>
      </w:tr>
      <w:tr w:rsidR="00B13B56" w:rsidRPr="00B13B56" w14:paraId="05FAB1F7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A7CD5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0x4A5F132A89F32CdA81F3e8fAAc3c2d0f993effe2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3B604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07</w:t>
            </w:r>
          </w:p>
        </w:tc>
      </w:tr>
      <w:tr w:rsidR="00B13B56" w:rsidRPr="00B13B56" w14:paraId="185E428C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A0387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0x791b1689526B5560145F99cB9D3B7F24eca2591a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65817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08</w:t>
            </w:r>
          </w:p>
        </w:tc>
      </w:tr>
      <w:tr w:rsidR="00B13B56" w:rsidRPr="00B13B56" w14:paraId="39F2BC31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BC6AE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0x758aC3DC8FB6F939adf42bB83e717f94619052f5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1E889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09</w:t>
            </w:r>
          </w:p>
        </w:tc>
      </w:tr>
      <w:tr w:rsidR="00B13B56" w:rsidRPr="00B13B56" w14:paraId="483487D3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A7759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0x8f508CEF7c94883655751408B9bA80c94937288b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1591C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10</w:t>
            </w:r>
          </w:p>
        </w:tc>
      </w:tr>
      <w:tr w:rsidR="00B13B56" w:rsidRPr="00B13B56" w14:paraId="70E0C1B0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B7EC6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0xa5fDFCBcEECEb5741Ef73f86CF3ed6E80E5E920D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B3298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11</w:t>
            </w:r>
          </w:p>
        </w:tc>
      </w:tr>
      <w:tr w:rsidR="00B13B56" w:rsidRPr="00B13B56" w14:paraId="1E51A17F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38049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0x4A28E5ec811A13A11f0A0E3F535472FBeD0D4FEA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D5A64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12</w:t>
            </w:r>
          </w:p>
        </w:tc>
      </w:tr>
      <w:tr w:rsidR="00B13B56" w:rsidRPr="00B13B56" w14:paraId="3A5960FA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D3F95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0xAB97D6A3174b8BF60d0f017c8453f543EA835D36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D04AE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13</w:t>
            </w:r>
          </w:p>
        </w:tc>
      </w:tr>
      <w:tr w:rsidR="00B13B56" w:rsidRPr="00B13B56" w14:paraId="6428F8A6" w14:textId="77777777" w:rsidTr="00A2162A">
        <w:trPr>
          <w:trHeight w:val="30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A2187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0x07660C06338b78eAA9E529fcEF5e11aC56b25cDb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4EF30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Bundler 14</w:t>
            </w:r>
          </w:p>
        </w:tc>
      </w:tr>
    </w:tbl>
    <w:p w14:paraId="12D7EDF2" w14:textId="77777777" w:rsidR="00B13B56" w:rsidRPr="00B13B56" w:rsidRDefault="00B13B56" w:rsidP="00B13B5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proofErr w:type="spellStart"/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Stackup</w:t>
      </w:r>
      <w:proofErr w:type="spellEnd"/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 xml:space="preserve"> </w:t>
      </w:r>
      <w:commentRangeStart w:id="3"/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 xml:space="preserve">Paymasters </w:t>
      </w:r>
      <w:commentRangeEnd w:id="3"/>
      <w:r w:rsidR="00E93BD8">
        <w:rPr>
          <w:rStyle w:val="a6"/>
        </w:rPr>
        <w:commentReference w:id="3"/>
      </w:r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v0.6</w:t>
      </w:r>
    </w:p>
    <w:p w14:paraId="00D01723" w14:textId="77777777" w:rsidR="00B13B56" w:rsidRPr="00B13B56" w:rsidRDefault="00B13B56" w:rsidP="00B13B56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These are the official paymaster addresses run by 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that 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support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the </w:t>
      </w:r>
      <w:hyperlink r:id="rId29" w:tgtFrame="_self" w:history="1">
        <w:r w:rsidRPr="00B13B56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April 2023</w:t>
        </w:r>
      </w:hyperlink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audited 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EntryPoint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. The address is the 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same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on all networks.</w:t>
      </w:r>
    </w:p>
    <w:p w14:paraId="4A14525C" w14:textId="77777777" w:rsidR="00B13B56" w:rsidRPr="00B13B56" w:rsidRDefault="00B13B56" w:rsidP="00B13B56">
      <w:pPr>
        <w:widowControl/>
        <w:shd w:val="clear" w:color="auto" w:fill="FFFFFF"/>
        <w:spacing w:after="100" w:afterAutospacing="1"/>
        <w:jc w:val="left"/>
        <w:rPr>
          <w:rFonts w:ascii="var(--markdown-title-font)" w:eastAsia="宋体" w:hAnsi="var(--markdown-title-font)" w:cs="Segoe UI"/>
          <w:color w:val="384248"/>
          <w:kern w:val="0"/>
          <w:sz w:val="34"/>
          <w:szCs w:val="34"/>
        </w:rPr>
      </w:pPr>
      <w:r w:rsidRPr="00B13B56">
        <w:rPr>
          <w:rFonts w:ascii="Segoe UI Emoji" w:eastAsia="宋体" w:hAnsi="Segoe UI Emoji" w:cs="Segoe UI Emoji"/>
          <w:color w:val="384248"/>
          <w:kern w:val="0"/>
          <w:sz w:val="34"/>
          <w:szCs w:val="34"/>
        </w:rPr>
        <w:t>📘</w:t>
      </w:r>
    </w:p>
    <w:p w14:paraId="08A8798E" w14:textId="77777777" w:rsidR="00B13B56" w:rsidRPr="00B13B56" w:rsidRDefault="00B13B56" w:rsidP="00B13B56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Accessing the address 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programatically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?</w:t>
      </w:r>
    </w:p>
    <w:p w14:paraId="424BEB44" w14:textId="77777777" w:rsidR="00B13B56" w:rsidRPr="00B13B56" w:rsidRDefault="00B13B56" w:rsidP="00B13B56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If you need to reference these 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programatically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, we </w:t>
      </w:r>
      <w:r w:rsidRPr="00B13B56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>don't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recommend hard coding the address into your application. Instead use the </w:t>
      </w:r>
      <w:proofErr w:type="spellStart"/>
      <w:r w:rsidRPr="00B13B56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begin"/>
      </w:r>
      <w:r w:rsidRPr="00B13B56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instrText>HYPERLINK "https://docs.stackup.sh/docs/paymaster-api-rpc-methods" \l "pm_accounts" \t "_self"</w:instrText>
      </w:r>
      <w:r w:rsidRPr="00B13B56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</w:r>
      <w:r w:rsidRPr="00B13B56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separate"/>
      </w:r>
      <w:r w:rsidRPr="00B13B56">
        <w:rPr>
          <w:rFonts w:ascii="宋体" w:eastAsia="宋体" w:hAnsi="宋体" w:cs="宋体"/>
          <w:color w:val="0000FF"/>
          <w:kern w:val="0"/>
          <w:sz w:val="19"/>
          <w:szCs w:val="19"/>
          <w:highlight w:val="yellow"/>
          <w:u w:val="single"/>
        </w:rPr>
        <w:t>pm_accounts</w:t>
      </w:r>
      <w:proofErr w:type="spellEnd"/>
      <w:r w:rsidRPr="00B13B56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end"/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</w:t>
      </w:r>
      <w:commentRangeStart w:id="4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RPC </w:t>
      </w:r>
      <w:commentRangeEnd w:id="4"/>
      <w:r w:rsidR="000F575D">
        <w:rPr>
          <w:rStyle w:val="a6"/>
        </w:rPr>
        <w:commentReference w:id="4"/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method.</w:t>
      </w:r>
    </w:p>
    <w:p w14:paraId="758D6FC2" w14:textId="77777777" w:rsidR="00B13B56" w:rsidRPr="00B13B56" w:rsidRDefault="00B13B56" w:rsidP="00B13B56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These addresses may be 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rotated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at any time. Using </w:t>
      </w:r>
      <w:proofErr w:type="spellStart"/>
      <w:r w:rsidRPr="00B13B56">
        <w:rPr>
          <w:rFonts w:ascii="宋体" w:eastAsia="宋体" w:hAnsi="宋体" w:cs="宋体"/>
          <w:color w:val="384248"/>
          <w:kern w:val="0"/>
          <w:sz w:val="19"/>
          <w:szCs w:val="19"/>
        </w:rPr>
        <w:t>pm_accounts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</w:t>
      </w:r>
      <w:proofErr w:type="gram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ensures</w:t>
      </w:r>
      <w:proofErr w:type="gram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you're always using the 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latest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paymaster. This is useful in the ERC-20 use-case where a paymaster </w:t>
      </w:r>
      <w:commentRangeStart w:id="5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approval </w:t>
      </w:r>
      <w:commentRangeEnd w:id="5"/>
      <w:r w:rsidR="000F575D">
        <w:rPr>
          <w:rStyle w:val="a6"/>
        </w:rPr>
        <w:commentReference w:id="5"/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is required.</w:t>
      </w:r>
    </w:p>
    <w:tbl>
      <w:tblPr>
        <w:tblW w:w="99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2"/>
      </w:tblGrid>
      <w:tr w:rsidR="00B13B56" w:rsidRPr="00B13B56" w14:paraId="3F515F03" w14:textId="77777777" w:rsidTr="00E83768">
        <w:trPr>
          <w:trHeight w:val="288"/>
          <w:tblHeader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5606F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Address</w:t>
            </w:r>
          </w:p>
        </w:tc>
      </w:tr>
      <w:tr w:rsidR="00B13B56" w:rsidRPr="00B13B56" w14:paraId="118AA3B3" w14:textId="77777777" w:rsidTr="00E83768">
        <w:trPr>
          <w:trHeight w:val="288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6C404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0xE93ECa6595fe94091DC1af46aaC2A8b5D7990770</w:t>
              </w:r>
            </w:hyperlink>
          </w:p>
        </w:tc>
      </w:tr>
    </w:tbl>
    <w:p w14:paraId="0EB6C021" w14:textId="77777777" w:rsidR="00B13B56" w:rsidRPr="00B13B56" w:rsidRDefault="00B13B56" w:rsidP="00B13B5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</w:pPr>
      <w:proofErr w:type="spellStart"/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  <w:highlight w:val="yellow"/>
        </w:rPr>
        <w:t>Testnet</w:t>
      </w:r>
      <w:proofErr w:type="spellEnd"/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  <w:highlight w:val="yellow"/>
        </w:rPr>
        <w:t xml:space="preserve"> ERC20 gas tokens</w:t>
      </w:r>
    </w:p>
    <w:p w14:paraId="13F56B03" w14:textId="77777777" w:rsidR="00B13B56" w:rsidRPr="00B13B56" w:rsidRDefault="00B13B56" w:rsidP="00B13B56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lastRenderedPageBreak/>
        <w:t xml:space="preserve">These 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testnet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tokens can be minted through the 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Etherscan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interface for values under 1 Ether. </w:t>
      </w:r>
      <w:r w:rsidRPr="00B13B56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 xml:space="preserve">They are not worth anything and only used as a replacement for their </w:t>
      </w:r>
      <w:proofErr w:type="spellStart"/>
      <w:r w:rsidRPr="00B13B56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>mainnet</w:t>
      </w:r>
      <w:proofErr w:type="spellEnd"/>
      <w:r w:rsidRPr="00B13B56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 xml:space="preserve"> counterparts.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See the </w:t>
      </w:r>
      <w:hyperlink r:id="rId31" w:tgtFrame="_self" w:history="1">
        <w:r w:rsidRPr="00B13B56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Paymaster API docs</w:t>
        </w:r>
      </w:hyperlink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to read more about using </w:t>
      </w:r>
      <w:commentRangeStart w:id="6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ERC20 tokens for gas</w:t>
      </w:r>
      <w:commentRangeEnd w:id="6"/>
      <w:r w:rsidR="00CA2409">
        <w:rPr>
          <w:rStyle w:val="a6"/>
        </w:rPr>
        <w:commentReference w:id="6"/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tbl>
      <w:tblPr>
        <w:tblW w:w="9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4"/>
        <w:gridCol w:w="3309"/>
      </w:tblGrid>
      <w:tr w:rsidR="00B13B56" w:rsidRPr="00B13B56" w14:paraId="1A615DEF" w14:textId="77777777" w:rsidTr="001D2283">
        <w:trPr>
          <w:trHeight w:val="336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70E55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DAE38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Mainnet</w:t>
            </w:r>
            <w:proofErr w:type="spellEnd"/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Replacement</w:t>
            </w:r>
          </w:p>
        </w:tc>
      </w:tr>
      <w:tr w:rsidR="00B13B56" w:rsidRPr="00B13B56" w14:paraId="200D2C4C" w14:textId="77777777" w:rsidTr="001D2283">
        <w:trPr>
          <w:trHeight w:val="33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D4728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tgtFrame="_self" w:history="1">
              <w:r w:rsidRPr="00B13B56">
                <w:rPr>
                  <w:rFonts w:ascii="宋体" w:eastAsia="宋体" w:hAnsi="宋体" w:cs="宋体"/>
                  <w:color w:val="1679EF"/>
                  <w:kern w:val="0"/>
                  <w:sz w:val="24"/>
                  <w:szCs w:val="24"/>
                  <w:u w:val="single"/>
                </w:rPr>
                <w:t>0x3870419Ba2BBf0127060bCB37f69A1b1C090992B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F9F40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USDC</w:t>
            </w:r>
          </w:p>
        </w:tc>
      </w:tr>
    </w:tbl>
    <w:p w14:paraId="3469357A" w14:textId="77777777" w:rsidR="00B13B56" w:rsidRPr="00B13B56" w:rsidRDefault="00B13B56" w:rsidP="00B13B5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proofErr w:type="spellStart"/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t>Stackup</w:t>
      </w:r>
      <w:proofErr w:type="spellEnd"/>
      <w:r w:rsidRPr="00B13B56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t xml:space="preserve"> Paymasters v0.4</w:t>
      </w:r>
    </w:p>
    <w:p w14:paraId="4335694E" w14:textId="77777777" w:rsidR="00B13B56" w:rsidRPr="00B13B56" w:rsidRDefault="00B13B56" w:rsidP="00B13B56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These are the official 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Paymaster</w:t>
      </w:r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addresses run by 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that support the </w:t>
      </w:r>
      <w:hyperlink r:id="rId33" w:tgtFrame="_self" w:history="1">
        <w:r w:rsidRPr="00B13B56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March 2023</w:t>
        </w:r>
      </w:hyperlink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audited </w:t>
      </w:r>
      <w:proofErr w:type="spellStart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EntryPoint</w:t>
      </w:r>
      <w:proofErr w:type="spellEnd"/>
      <w:r w:rsidRPr="00B13B5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tbl>
      <w:tblPr>
        <w:tblW w:w="100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8"/>
        <w:gridCol w:w="1863"/>
      </w:tblGrid>
      <w:tr w:rsidR="00B13B56" w:rsidRPr="00B13B56" w14:paraId="10ECE41B" w14:textId="77777777" w:rsidTr="00AB4C5F">
        <w:trPr>
          <w:trHeight w:val="322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5A2F5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9981A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Network</w:t>
            </w:r>
          </w:p>
        </w:tc>
      </w:tr>
      <w:tr w:rsidR="00B13B56" w:rsidRPr="00B13B56" w14:paraId="3CD9E431" w14:textId="77777777" w:rsidTr="00AB4C5F">
        <w:trPr>
          <w:trHeight w:val="32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79E4C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tgtFrame="_self" w:history="1">
              <w:r w:rsidRPr="00B13B56">
                <w:rPr>
                  <w:rFonts w:ascii="宋体" w:eastAsia="宋体" w:hAnsi="宋体" w:cs="宋体"/>
                  <w:color w:val="0A4995"/>
                  <w:kern w:val="0"/>
                  <w:sz w:val="24"/>
                  <w:szCs w:val="24"/>
                  <w:u w:val="single"/>
                </w:rPr>
                <w:t>0x474Ea64BEdDE53aaD1084210BD60eeF2989bF80f</w:t>
              </w:r>
            </w:hyperlink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0B62E" w14:textId="77777777" w:rsidR="00B13B56" w:rsidRPr="00B13B56" w:rsidRDefault="00B13B56" w:rsidP="00B13B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3B56">
              <w:rPr>
                <w:rFonts w:ascii="宋体" w:eastAsia="宋体" w:hAnsi="宋体" w:cs="宋体"/>
                <w:kern w:val="0"/>
                <w:sz w:val="24"/>
                <w:szCs w:val="24"/>
              </w:rPr>
              <w:t>Polygon</w:t>
            </w:r>
          </w:p>
        </w:tc>
      </w:tr>
    </w:tbl>
    <w:p w14:paraId="0E1411B5" w14:textId="77777777" w:rsidR="00B13B56" w:rsidRPr="00B13B56" w:rsidRDefault="00B13B56" w:rsidP="00B13B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  <w:r w:rsidRPr="00B13B56">
        <w:rPr>
          <w:rFonts w:ascii="Segoe UI" w:eastAsia="宋体" w:hAnsi="Segoe UI" w:cs="Segoe UI"/>
          <w:color w:val="384248"/>
          <w:kern w:val="0"/>
          <w:sz w:val="20"/>
          <w:szCs w:val="20"/>
        </w:rPr>
        <w:t>Updated 3 months ago</w:t>
      </w:r>
    </w:p>
    <w:p w14:paraId="0C9EF100" w14:textId="77777777" w:rsidR="0000778C" w:rsidRDefault="0000778C"/>
    <w:sectPr w:rsidR="00007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20T18:12:00Z" w:initials="科林">
    <w:p w14:paraId="3E995812" w14:textId="77777777" w:rsidR="00B13B56" w:rsidRDefault="00B13B56" w:rsidP="007543EB">
      <w:pPr>
        <w:pStyle w:val="a7"/>
      </w:pPr>
      <w:r>
        <w:rPr>
          <w:rStyle w:val="a6"/>
        </w:rPr>
        <w:annotationRef/>
      </w:r>
      <w:r>
        <w:t>下面这些合约都是stackup部署的</w:t>
      </w:r>
    </w:p>
  </w:comment>
  <w:comment w:id="1" w:author="科 林" w:date="2023-10-20T18:17:00Z" w:initials="科林">
    <w:p w14:paraId="34D1EFA5" w14:textId="77777777" w:rsidR="00A2162A" w:rsidRDefault="00A2162A" w:rsidP="00DB0E18">
      <w:pPr>
        <w:pStyle w:val="a7"/>
      </w:pPr>
      <w:r>
        <w:rPr>
          <w:rStyle w:val="a6"/>
        </w:rPr>
        <w:annotationRef/>
      </w:r>
      <w:r>
        <w:t>指的应该是bundler的EOA地址</w:t>
      </w:r>
    </w:p>
  </w:comment>
  <w:comment w:id="2" w:author="科 林" w:date="2023-10-20T18:17:00Z" w:initials="科林">
    <w:p w14:paraId="753D26B8" w14:textId="43A47D02" w:rsidR="00A2162A" w:rsidRDefault="00A2162A" w:rsidP="00BD40B4">
      <w:pPr>
        <w:pStyle w:val="a7"/>
      </w:pPr>
      <w:r>
        <w:rPr>
          <w:rStyle w:val="a6"/>
        </w:rPr>
        <w:annotationRef/>
      </w:r>
      <w:r>
        <w:t>Bundler和EntryPoint的实现是互相搭配的，需要兼容</w:t>
      </w:r>
    </w:p>
  </w:comment>
  <w:comment w:id="3" w:author="科 林" w:date="2023-10-20T18:21:00Z" w:initials="科林">
    <w:p w14:paraId="0645BAC3" w14:textId="77777777" w:rsidR="00E93BD8" w:rsidRDefault="00E93BD8" w:rsidP="00E5353E">
      <w:pPr>
        <w:pStyle w:val="a7"/>
      </w:pPr>
      <w:r>
        <w:rPr>
          <w:rStyle w:val="a6"/>
        </w:rPr>
        <w:annotationRef/>
      </w:r>
      <w:r>
        <w:t>paymaster是一个通用的合约，是由stackup部署的，只部署一次。不是由用户部署的。</w:t>
      </w:r>
    </w:p>
  </w:comment>
  <w:comment w:id="4" w:author="科 林" w:date="2023-10-20T18:22:00Z" w:initials="科林">
    <w:p w14:paraId="5097D6BD" w14:textId="77777777" w:rsidR="000F575D" w:rsidRDefault="000F575D" w:rsidP="005771BF">
      <w:pPr>
        <w:pStyle w:val="a7"/>
      </w:pPr>
      <w:r>
        <w:rPr>
          <w:rStyle w:val="a6"/>
        </w:rPr>
        <w:annotationRef/>
      </w:r>
      <w:r>
        <w:t>应该是指的调用bundler的RPC方法，获取paymaster合约的地址</w:t>
      </w:r>
    </w:p>
  </w:comment>
  <w:comment w:id="5" w:author="科 林" w:date="2023-10-20T18:23:00Z" w:initials="科林">
    <w:p w14:paraId="1C0C2B60" w14:textId="77777777" w:rsidR="000F575D" w:rsidRDefault="000F575D" w:rsidP="00C80292">
      <w:pPr>
        <w:pStyle w:val="a7"/>
      </w:pPr>
      <w:r>
        <w:rPr>
          <w:rStyle w:val="a6"/>
        </w:rPr>
        <w:annotationRef/>
      </w:r>
      <w:r>
        <w:t>即用户approve paymaster转移其合约账户的ERC20资产</w:t>
      </w:r>
    </w:p>
  </w:comment>
  <w:comment w:id="6" w:author="科 林" w:date="2023-10-20T18:27:00Z" w:initials="科林">
    <w:p w14:paraId="1FDDB416" w14:textId="77777777" w:rsidR="00CA2409" w:rsidRDefault="00CA2409" w:rsidP="00FF2B8D">
      <w:pPr>
        <w:pStyle w:val="a7"/>
      </w:pPr>
      <w:r>
        <w:rPr>
          <w:rStyle w:val="a6"/>
        </w:rPr>
        <w:annotationRef/>
      </w:r>
      <w:r>
        <w:t>这个有点没看懂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995812" w15:done="0"/>
  <w15:commentEx w15:paraId="34D1EFA5" w15:done="0"/>
  <w15:commentEx w15:paraId="753D26B8" w15:done="0"/>
  <w15:commentEx w15:paraId="0645BAC3" w15:done="0"/>
  <w15:commentEx w15:paraId="5097D6BD" w15:done="0"/>
  <w15:commentEx w15:paraId="1C0C2B60" w15:done="0"/>
  <w15:commentEx w15:paraId="1FDDB4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4A2CD8" w16cex:dateUtc="2023-10-20T10:12:00Z"/>
  <w16cex:commentExtensible w16cex:durableId="2C2AAB7B" w16cex:dateUtc="2023-10-20T10:17:00Z"/>
  <w16cex:commentExtensible w16cex:durableId="44BDC6A5" w16cex:dateUtc="2023-10-20T10:17:00Z"/>
  <w16cex:commentExtensible w16cex:durableId="7B8CA645" w16cex:dateUtc="2023-10-20T10:21:00Z"/>
  <w16cex:commentExtensible w16cex:durableId="3B4DDC49" w16cex:dateUtc="2023-10-20T10:22:00Z"/>
  <w16cex:commentExtensible w16cex:durableId="1269FCDC" w16cex:dateUtc="2023-10-20T10:23:00Z"/>
  <w16cex:commentExtensible w16cex:durableId="49697ED7" w16cex:dateUtc="2023-10-20T1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995812" w16cid:durableId="294A2CD8"/>
  <w16cid:commentId w16cid:paraId="34D1EFA5" w16cid:durableId="2C2AAB7B"/>
  <w16cid:commentId w16cid:paraId="753D26B8" w16cid:durableId="44BDC6A5"/>
  <w16cid:commentId w16cid:paraId="0645BAC3" w16cid:durableId="7B8CA645"/>
  <w16cid:commentId w16cid:paraId="5097D6BD" w16cid:durableId="3B4DDC49"/>
  <w16cid:commentId w16cid:paraId="1C0C2B60" w16cid:durableId="1269FCDC"/>
  <w16cid:commentId w16cid:paraId="1FDDB416" w16cid:durableId="49697E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arkdown-font)">
    <w:altName w:val="Cambria"/>
    <w:panose1 w:val="00000000000000000000"/>
    <w:charset w:val="00"/>
    <w:family w:val="roman"/>
    <w:notTrueType/>
    <w:pitch w:val="default"/>
  </w:font>
  <w:font w:name="var(--markdown-title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B1"/>
    <w:rsid w:val="0000778C"/>
    <w:rsid w:val="000F575D"/>
    <w:rsid w:val="001D2283"/>
    <w:rsid w:val="003545CF"/>
    <w:rsid w:val="008F62B1"/>
    <w:rsid w:val="00A2162A"/>
    <w:rsid w:val="00AB4C5F"/>
    <w:rsid w:val="00B13B56"/>
    <w:rsid w:val="00CA2409"/>
    <w:rsid w:val="00E83768"/>
    <w:rsid w:val="00E9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6E34A-0156-402D-B210-9E15C5AE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3B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13B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13B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B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13B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13B5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13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3B56"/>
    <w:rPr>
      <w:color w:val="0000FF"/>
      <w:u w:val="single"/>
    </w:rPr>
  </w:style>
  <w:style w:type="character" w:customStyle="1" w:styleId="glossaryitem-trigger">
    <w:name w:val="glossaryitem-trigger"/>
    <w:basedOn w:val="a0"/>
    <w:rsid w:val="00B13B56"/>
  </w:style>
  <w:style w:type="paragraph" w:customStyle="1" w:styleId="callout-heading">
    <w:name w:val="callout-heading"/>
    <w:basedOn w:val="a"/>
    <w:rsid w:val="00B13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llout-icon">
    <w:name w:val="callout-icon"/>
    <w:basedOn w:val="a0"/>
    <w:rsid w:val="00B13B56"/>
  </w:style>
  <w:style w:type="character" w:styleId="a5">
    <w:name w:val="Strong"/>
    <w:basedOn w:val="a0"/>
    <w:uiPriority w:val="22"/>
    <w:qFormat/>
    <w:rsid w:val="00B13B56"/>
    <w:rPr>
      <w:b/>
      <w:bCs/>
    </w:rPr>
  </w:style>
  <w:style w:type="character" w:customStyle="1" w:styleId="cm-s-neo">
    <w:name w:val="cm-s-neo"/>
    <w:basedOn w:val="a0"/>
    <w:rsid w:val="00B13B56"/>
  </w:style>
  <w:style w:type="paragraph" w:customStyle="1" w:styleId="dateline">
    <w:name w:val="dateline"/>
    <w:basedOn w:val="a"/>
    <w:rsid w:val="00B13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13B56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B13B56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B13B56"/>
  </w:style>
  <w:style w:type="paragraph" w:styleId="a9">
    <w:name w:val="annotation subject"/>
    <w:basedOn w:val="a7"/>
    <w:next w:val="a7"/>
    <w:link w:val="aa"/>
    <w:uiPriority w:val="99"/>
    <w:semiHidden/>
    <w:unhideWhenUsed/>
    <w:rsid w:val="00B13B5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13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6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60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936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544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304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2804">
                  <w:blockQuote w:val="1"/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96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327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264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openzeppelin.com/eip-4337-ethereum-account-abstraction-incremental-audit/" TargetMode="External"/><Relationship Id="rId18" Type="http://schemas.openxmlformats.org/officeDocument/2006/relationships/hyperlink" Target="https://blockscan.com/address/0x20e9695f25413f14e5807b530D0698bd4F155074" TargetMode="External"/><Relationship Id="rId26" Type="http://schemas.openxmlformats.org/officeDocument/2006/relationships/hyperlink" Target="https://blockscan.com/address/0x4A28E5ec811A13A11f0A0E3F535472FBeD0D4FEA" TargetMode="External"/><Relationship Id="rId21" Type="http://schemas.openxmlformats.org/officeDocument/2006/relationships/hyperlink" Target="https://blockscan.com/address/0x4A5F132A89F32CdA81F3e8fAAc3c2d0f993effe2" TargetMode="External"/><Relationship Id="rId34" Type="http://schemas.openxmlformats.org/officeDocument/2006/relationships/hyperlink" Target="https://polygonscan.com/address/0x474Ea64BEdDE53aaD1084210BD60eeF2989bF80f" TargetMode="External"/><Relationship Id="rId7" Type="http://schemas.microsoft.com/office/2018/08/relationships/commentsExtensible" Target="commentsExtensible.xml"/><Relationship Id="rId12" Type="http://schemas.openxmlformats.org/officeDocument/2006/relationships/hyperlink" Target="https://blog.openzeppelin.com/eip-4337-ethereum-account-abstraction-incremental-audit/" TargetMode="External"/><Relationship Id="rId17" Type="http://schemas.openxmlformats.org/officeDocument/2006/relationships/hyperlink" Target="https://blockscan.com/address/0x9831d6f598729bF41055A0AF96396CEa91Eab18B" TargetMode="External"/><Relationship Id="rId25" Type="http://schemas.openxmlformats.org/officeDocument/2006/relationships/hyperlink" Target="https://blockscan.com/address/0xa5fDFCBcEECEb5741Ef73f86CF3ed6E80E5E920D" TargetMode="External"/><Relationship Id="rId33" Type="http://schemas.openxmlformats.org/officeDocument/2006/relationships/hyperlink" Target="https://blog.openzeppelin.com/eip-4337-ethereum-account-abstraction-incremental-audi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ckscan.com/address/0xFd72Ae8Ff5CC18849D83f13A252A0D8fd99Eb0AC" TargetMode="External"/><Relationship Id="rId20" Type="http://schemas.openxmlformats.org/officeDocument/2006/relationships/hyperlink" Target="https://blockscan.com/address/0x226A22889b7f842FB1426B3e81130b461AbdA8A5" TargetMode="External"/><Relationship Id="rId29" Type="http://schemas.openxmlformats.org/officeDocument/2006/relationships/hyperlink" Target="https://blog.openzeppelin.com/eip-4337-ethereum-account-abstraction-incremental-audit/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github.com/stackup-wallet/stackup-bundler/releases/tag/v0.6.0-rc.4" TargetMode="External"/><Relationship Id="rId24" Type="http://schemas.openxmlformats.org/officeDocument/2006/relationships/hyperlink" Target="https://blockscan.com/address/0x8f508CEF7c94883655751408B9bA80c94937288b" TargetMode="External"/><Relationship Id="rId32" Type="http://schemas.openxmlformats.org/officeDocument/2006/relationships/hyperlink" Target="https://blockscan.com/address/0x3870419Ba2BBf0127060bCB37f69A1b1C090992B" TargetMode="External"/><Relationship Id="rId37" Type="http://schemas.openxmlformats.org/officeDocument/2006/relationships/theme" Target="theme/theme1.xml"/><Relationship Id="rId5" Type="http://schemas.microsoft.com/office/2011/relationships/commentsExtended" Target="commentsExtended.xml"/><Relationship Id="rId15" Type="http://schemas.openxmlformats.org/officeDocument/2006/relationships/hyperlink" Target="https://blockscan.com/address/0x6892BEF4aE1b5cb33F9A175Ab822518c9025fc3C" TargetMode="External"/><Relationship Id="rId23" Type="http://schemas.openxmlformats.org/officeDocument/2006/relationships/hyperlink" Target="https://blockscan.com/address/0x758aC3DC8FB6F939adf42bB83e717f94619052f5" TargetMode="External"/><Relationship Id="rId28" Type="http://schemas.openxmlformats.org/officeDocument/2006/relationships/hyperlink" Target="https://blockscan.com/address/0x07660C06338b78eAA9E529fcEF5e11aC56b25cDb" TargetMode="External"/><Relationship Id="rId36" Type="http://schemas.microsoft.com/office/2011/relationships/people" Target="people.xml"/><Relationship Id="rId10" Type="http://schemas.openxmlformats.org/officeDocument/2006/relationships/hyperlink" Target="https://github.com/eth-infinitism/account-abstraction/commit/9b5f2e4bb30a81aa30761749d9e2e43fee64c768" TargetMode="External"/><Relationship Id="rId19" Type="http://schemas.openxmlformats.org/officeDocument/2006/relationships/hyperlink" Target="https://blockscan.com/address/0x65c51459258464020e850FBa27B427BD708da638" TargetMode="External"/><Relationship Id="rId31" Type="http://schemas.openxmlformats.org/officeDocument/2006/relationships/hyperlink" Target="https://docs.stackup.sh/docs/paymaster-api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blockscan.com/address/0x5FF137D4b0FDCD49DcA30c7CF57E578a026d2789" TargetMode="External"/><Relationship Id="rId14" Type="http://schemas.openxmlformats.org/officeDocument/2006/relationships/hyperlink" Target="https://blockscan.com/address/0x25df024637d4e56c1ae9563987bf3e92c9f534c0" TargetMode="External"/><Relationship Id="rId22" Type="http://schemas.openxmlformats.org/officeDocument/2006/relationships/hyperlink" Target="https://blockscan.com/address/0x791b1689526B5560145F99cB9D3B7F24eca2591a" TargetMode="External"/><Relationship Id="rId27" Type="http://schemas.openxmlformats.org/officeDocument/2006/relationships/hyperlink" Target="https://blockscan.com/address/0xAB97D6A3174b8BF60d0f017c8453f543EA835D36" TargetMode="External"/><Relationship Id="rId30" Type="http://schemas.openxmlformats.org/officeDocument/2006/relationships/hyperlink" Target="https://blockscan.com/address/0xE93ECa6595fe94091DC1af46aaC2A8b5D799077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stackup.sh/edit/entity-addresse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14</cp:revision>
  <dcterms:created xsi:type="dcterms:W3CDTF">2023-10-20T10:12:00Z</dcterms:created>
  <dcterms:modified xsi:type="dcterms:W3CDTF">2023-10-20T10:27:00Z</dcterms:modified>
</cp:coreProperties>
</file>