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81AD" w14:textId="77777777" w:rsidR="00F224D8" w:rsidRPr="00F224D8" w:rsidRDefault="00F224D8" w:rsidP="00F224D8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6"/>
          <w:szCs w:val="46"/>
        </w:rPr>
      </w:pPr>
      <w:r w:rsidRPr="00F224D8">
        <w:rPr>
          <w:rFonts w:ascii="宋体" w:eastAsia="宋体" w:hAnsi="宋体" w:cs="宋体"/>
          <w:b/>
          <w:bCs/>
          <w:kern w:val="36"/>
          <w:sz w:val="46"/>
          <w:szCs w:val="46"/>
        </w:rPr>
        <w:t>Recommendations</w:t>
      </w:r>
    </w:p>
    <w:p w14:paraId="6784A27C" w14:textId="77777777" w:rsidR="00F224D8" w:rsidRPr="00F224D8" w:rsidRDefault="00F224D8" w:rsidP="00F224D8">
      <w:pPr>
        <w:widowControl/>
        <w:jc w:val="left"/>
        <w:rPr>
          <w:rFonts w:ascii="var(--markdown-font)" w:eastAsia="宋体" w:hAnsi="var(--markdown-font)" w:cs="宋体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宋体"/>
          <w:kern w:val="0"/>
          <w:sz w:val="27"/>
          <w:szCs w:val="27"/>
        </w:rPr>
        <w:t>You have a few decisions to make on how to implement ERC-4337. Here's what we usually recommend.</w:t>
      </w:r>
    </w:p>
    <w:p w14:paraId="665A6AAD" w14:textId="77777777" w:rsidR="00F224D8" w:rsidRPr="00F224D8" w:rsidRDefault="00F224D8" w:rsidP="00F224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tgtFrame="_self" w:history="1">
        <w:r w:rsidRPr="00F224D8">
          <w:rPr>
            <w:rFonts w:ascii="宋体" w:eastAsia="宋体" w:hAnsi="宋体" w:cs="宋体"/>
            <w:color w:val="0000FF"/>
            <w:kern w:val="0"/>
            <w:sz w:val="20"/>
            <w:szCs w:val="20"/>
          </w:rPr>
          <w:t>Suggest Edits</w:t>
        </w:r>
      </w:hyperlink>
    </w:p>
    <w:p w14:paraId="35BB63D0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Although </w:t>
      </w:r>
      <w:proofErr w:type="spellStart"/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Stackup</w:t>
      </w:r>
      <w:proofErr w:type="spellEnd"/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takes care of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account infrastructure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, you still have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a number of decisions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to make about which pieces you want to use if you are developing an application with ERC-4337.</w:t>
      </w:r>
    </w:p>
    <w:p w14:paraId="70F0EACA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These decisions can be overwhelming, so here's the advice we find ourselves giving 80% of projects.</w:t>
      </w:r>
    </w:p>
    <w:p w14:paraId="656C4B7B" w14:textId="77777777" w:rsidR="00F224D8" w:rsidRPr="00F224D8" w:rsidRDefault="00F224D8" w:rsidP="00F224D8">
      <w:pPr>
        <w:widowControl/>
        <w:shd w:val="clear" w:color="auto" w:fill="FFFFFF"/>
        <w:spacing w:after="100" w:afterAutospacing="1"/>
        <w:jc w:val="left"/>
        <w:rPr>
          <w:rFonts w:ascii="var(--markdown-title-font)" w:eastAsia="宋体" w:hAnsi="var(--markdown-title-font)" w:cs="Segoe UI"/>
          <w:color w:val="384248"/>
          <w:kern w:val="0"/>
          <w:sz w:val="34"/>
          <w:szCs w:val="34"/>
        </w:rPr>
      </w:pPr>
      <w:r w:rsidRPr="00F224D8">
        <w:rPr>
          <w:rFonts w:ascii="Segoe UI Emoji" w:eastAsia="宋体" w:hAnsi="Segoe UI Emoji" w:cs="Segoe UI Emoji"/>
          <w:color w:val="384248"/>
          <w:kern w:val="0"/>
          <w:sz w:val="34"/>
          <w:szCs w:val="34"/>
        </w:rPr>
        <w:t>👍</w:t>
      </w:r>
    </w:p>
    <w:p w14:paraId="06989085" w14:textId="77777777" w:rsidR="00F224D8" w:rsidRPr="00F224D8" w:rsidRDefault="00F224D8" w:rsidP="00F224D8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No endorsements</w:t>
      </w:r>
    </w:p>
    <w:p w14:paraId="25ECE1D6" w14:textId="77777777" w:rsidR="00F224D8" w:rsidRPr="00F224D8" w:rsidRDefault="00F224D8" w:rsidP="00F224D8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b/>
          <w:bCs/>
          <w:color w:val="384248"/>
          <w:kern w:val="0"/>
          <w:sz w:val="27"/>
          <w:szCs w:val="27"/>
        </w:rPr>
        <w:t>We have no endorsement agreements with any third parties listed here.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These are based purely off of our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experience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developing applications with ERC-4337, and will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change with time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0BA085F8" w14:textId="5E4069BA" w:rsidR="00F224D8" w:rsidRPr="00F224D8" w:rsidRDefault="00F224D8" w:rsidP="00F224D8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 w:hint="eastAsia"/>
          <w:noProof/>
          <w:color w:val="384248"/>
          <w:kern w:val="0"/>
          <w:sz w:val="27"/>
          <w:szCs w:val="27"/>
        </w:rPr>
        <w:lastRenderedPageBreak/>
        <w:drawing>
          <wp:inline distT="0" distB="0" distL="0" distR="0" wp14:anchorId="61A6E49F" wp14:editId="6949815B">
            <wp:extent cx="5274310" cy="3296285"/>
            <wp:effectExtent l="0" t="0" r="2540" b="0"/>
            <wp:docPr id="1260392547" name="图片 1" descr="High-level interactions between an application and the blockchain. Blue boxes indicate decisions, and dashed lines are option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-level interactions between an application and the blockchain. Blue boxes indicate decisions, and dashed lines are optional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298D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High-level interactions between an application and the blockchain.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Blue boxes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indicate major elements you will need to choose, and dashed lines are optional.</w:t>
      </w:r>
    </w:p>
    <w:p w14:paraId="4086D160" w14:textId="77777777" w:rsidR="00F224D8" w:rsidRPr="00F224D8" w:rsidRDefault="00F224D8" w:rsidP="00F224D8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var(--markdown-title-font)" w:eastAsia="宋体" w:hAnsi="var(--markdown-title-font)" w:cs="Segoe UI"/>
          <w:b/>
          <w:bCs/>
          <w:color w:val="384248"/>
          <w:kern w:val="36"/>
          <w:sz w:val="48"/>
          <w:szCs w:val="48"/>
        </w:rPr>
      </w:pPr>
      <w:r w:rsidRPr="00F224D8">
        <w:rPr>
          <w:rFonts w:ascii="var(--markdown-title-font)" w:eastAsia="宋体" w:hAnsi="var(--markdown-title-font)" w:cs="Segoe UI"/>
          <w:b/>
          <w:bCs/>
          <w:color w:val="384248"/>
          <w:kern w:val="36"/>
          <w:sz w:val="48"/>
          <w:szCs w:val="48"/>
        </w:rPr>
        <w:t>Architectural Decisions</w:t>
      </w:r>
    </w:p>
    <w:p w14:paraId="0F1B30D6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Most apps will need to make three major decisions: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how users will authorize transactions, what account contracts to give users, and what SDK to use to build user operations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212D36DE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hyperlink r:id="rId6" w:tgtFrame="_self" w:history="1">
        <w:r w:rsidRPr="00F224D8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You can see a template application that uses all of these recommendations here</w:t>
        </w:r>
      </w:hyperlink>
    </w:p>
    <w:p w14:paraId="5E9EB42B" w14:textId="77777777" w:rsidR="00F224D8" w:rsidRPr="00F224D8" w:rsidRDefault="00F224D8" w:rsidP="00F224D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r w:rsidRPr="00F224D8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t xml:space="preserve">Decision 1: </w:t>
      </w:r>
      <w:r w:rsidRPr="00F224D8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Authorization method</w:t>
      </w:r>
    </w:p>
    <w:p w14:paraId="0972C771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lastRenderedPageBreak/>
        <w:t xml:space="preserve">We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recommend using </w:t>
      </w:r>
      <w:hyperlink r:id="rId7" w:tgtFrame="_self" w:history="1">
        <w:r w:rsidRPr="00F224D8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highlight w:val="yellow"/>
            <w:u w:val="single"/>
          </w:rPr>
          <w:t>Web3Auth </w:t>
        </w:r>
      </w:hyperlink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or similar MPC methods for basic applications. It has a plug-and-play modal that you can insert directly into your app, and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users can always still connect with a traditional wallet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1359EA28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More advanced authorization methods include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session keys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,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biometrics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, and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device keys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 You can explore some common authorization services </w:t>
      </w:r>
      <w:hyperlink r:id="rId8" w:tgtFrame="_self" w:history="1">
        <w:r w:rsidRPr="00F224D8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here</w:t>
        </w:r>
      </w:hyperlink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7B78CB88" w14:textId="77777777" w:rsidR="00F224D8" w:rsidRPr="00F224D8" w:rsidRDefault="00F224D8" w:rsidP="00F224D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r w:rsidRPr="00F224D8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t xml:space="preserve">Decision 2: </w:t>
      </w:r>
      <w:r w:rsidRPr="00F224D8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Smart account contracts</w:t>
      </w:r>
    </w:p>
    <w:p w14:paraId="642519CA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We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recommend using </w:t>
      </w:r>
      <w:proofErr w:type="spellStart"/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begin"/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instrText>HYPERLINK "https://docs.stackup.sh/docs/erc-4337-examples-zerodev-kernel" \t "_self"</w:instrText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separate"/>
      </w:r>
      <w:r w:rsidRPr="00F224D8">
        <w:rPr>
          <w:rFonts w:ascii="var(--markdown-font)" w:eastAsia="宋体" w:hAnsi="var(--markdown-font)" w:cs="Segoe UI"/>
          <w:color w:val="1679EF"/>
          <w:kern w:val="0"/>
          <w:sz w:val="27"/>
          <w:szCs w:val="27"/>
          <w:highlight w:val="yellow"/>
          <w:u w:val="single"/>
        </w:rPr>
        <w:t>ZeroDev's</w:t>
      </w:r>
      <w:proofErr w:type="spellEnd"/>
      <w:r w:rsidRPr="00F224D8">
        <w:rPr>
          <w:rFonts w:ascii="var(--markdown-font)" w:eastAsia="宋体" w:hAnsi="var(--markdown-font)" w:cs="Segoe UI"/>
          <w:color w:val="1679EF"/>
          <w:kern w:val="0"/>
          <w:sz w:val="27"/>
          <w:szCs w:val="27"/>
          <w:highlight w:val="yellow"/>
          <w:u w:val="single"/>
        </w:rPr>
        <w:t xml:space="preserve"> Kernel smart account</w:t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end"/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for most applications. It is the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most mature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ERC-4337 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Smart Account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specific implementation, and includes modules for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session keys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and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recovery methods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7E5B3E1C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It is also relatively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future-proof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 It is designed to comply with </w:t>
      </w:r>
      <w:hyperlink r:id="rId9" w:tgtFrame="_self" w:history="1">
        <w:r w:rsidRPr="00F224D8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ERC-6900</w:t>
        </w:r>
      </w:hyperlink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, a standard for making ERC-4337 smart accounts and their plugins interoperable.</w:t>
      </w:r>
    </w:p>
    <w:p w14:paraId="0D6AAF50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See more options </w:t>
      </w:r>
      <w:hyperlink r:id="rId10" w:tgtFrame="_self" w:history="1">
        <w:r w:rsidRPr="00F224D8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here</w:t>
        </w:r>
      </w:hyperlink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50D43C58" w14:textId="77777777" w:rsidR="00F224D8" w:rsidRPr="00F224D8" w:rsidRDefault="00F224D8" w:rsidP="00F224D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r w:rsidRPr="00F224D8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t xml:space="preserve">Decision 3: </w:t>
      </w:r>
      <w:r w:rsidRPr="00F224D8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SDK for building user operations</w:t>
      </w:r>
    </w:p>
    <w:p w14:paraId="791BE337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We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recommend using </w:t>
      </w:r>
      <w:hyperlink r:id="rId11" w:tgtFrame="_self" w:history="1">
        <w:r w:rsidRPr="00F224D8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highlight w:val="yellow"/>
            <w:u w:val="single"/>
          </w:rPr>
          <w:t>userop.js</w:t>
        </w:r>
      </w:hyperlink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rather than using an ecosystem-dependent SDK for building transactions. Userop.js is more flexible, MIT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lastRenderedPageBreak/>
        <w:t>open-source licensed, and likely underpins any application-specific SDK you are using.</w:t>
      </w:r>
    </w:p>
    <w:p w14:paraId="3DE8C0B9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See more options </w:t>
      </w:r>
      <w:hyperlink r:id="rId12" w:tgtFrame="_self" w:history="1">
        <w:r w:rsidRPr="00F224D8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u w:val="single"/>
          </w:rPr>
          <w:t>here</w:t>
        </w:r>
      </w:hyperlink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253649E8" w14:textId="77777777" w:rsidR="00F224D8" w:rsidRPr="00F224D8" w:rsidRDefault="00F224D8" w:rsidP="00F224D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r w:rsidRPr="00F224D8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  <w:highlight w:val="yellow"/>
        </w:rPr>
        <w:t>Optional: Paymasters</w:t>
      </w:r>
    </w:p>
    <w:p w14:paraId="2EBE14CF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commentRangeStart w:id="0"/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We </w:t>
      </w:r>
      <w:commentRangeEnd w:id="0"/>
      <w:r w:rsidR="00B773C9">
        <w:rPr>
          <w:rStyle w:val="a6"/>
        </w:rPr>
        <w:commentReference w:id="0"/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recommend using a paymaster service rather than build one yourself.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If you build one yourself, you need to manage on-chain liquidity.</w:t>
      </w:r>
    </w:p>
    <w:p w14:paraId="4D3126A2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We recommend the </w:t>
      </w:r>
      <w:proofErr w:type="spellStart"/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begin"/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instrText>HYPERLINK "https://docs.stackup.sh/docs/paymaster-api" \t "_self"</w:instrText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separate"/>
      </w:r>
      <w:r w:rsidRPr="00F224D8">
        <w:rPr>
          <w:rFonts w:ascii="var(--markdown-font)" w:eastAsia="宋体" w:hAnsi="var(--markdown-font)" w:cs="Segoe UI"/>
          <w:color w:val="1679EF"/>
          <w:kern w:val="0"/>
          <w:sz w:val="27"/>
          <w:szCs w:val="27"/>
          <w:highlight w:val="yellow"/>
          <w:u w:val="single"/>
        </w:rPr>
        <w:t>Stackup</w:t>
      </w:r>
      <w:proofErr w:type="spellEnd"/>
      <w:r w:rsidRPr="00F224D8">
        <w:rPr>
          <w:rFonts w:ascii="var(--markdown-font)" w:eastAsia="宋体" w:hAnsi="var(--markdown-font)" w:cs="Segoe UI"/>
          <w:color w:val="1679EF"/>
          <w:kern w:val="0"/>
          <w:sz w:val="27"/>
          <w:szCs w:val="27"/>
          <w:highlight w:val="yellow"/>
          <w:u w:val="single"/>
        </w:rPr>
        <w:t xml:space="preserve"> Paymaster</w:t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end"/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, not just because we built it, but because it is the most reliable and can be used to accept ERC-20 for gas payments or to sponsor transactions outright.</w:t>
      </w:r>
    </w:p>
    <w:p w14:paraId="71A40218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commentRangeStart w:id="1"/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Regardless</w:t>
      </w:r>
      <w:commentRangeEnd w:id="1"/>
      <w:r w:rsidR="00AA4F2F">
        <w:rPr>
          <w:rStyle w:val="a6"/>
        </w:rPr>
        <w:commentReference w:id="1"/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, in most instances it is better to use a paymaster that approves the gasless transaction off-chain than using one that is fully on-chain. This design allows a user to do any type of transaction without needing a blockchain's native token first - i.e., a user can start with just an ERC-20 token in their account.</w:t>
      </w:r>
    </w:p>
    <w:p w14:paraId="3BF14C7A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commentRangeStart w:id="2"/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If </w:t>
      </w:r>
      <w:commentRangeEnd w:id="2"/>
      <w:r w:rsidR="00AA4F2F">
        <w:rPr>
          <w:rStyle w:val="a6"/>
        </w:rPr>
        <w:commentReference w:id="2"/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you use a paymaster to sponsor transactions for your app, we strongly recommend having a separate API key just for sponsoring transactions with your paymaster so that you can put business logic for which transactions you will accept server-side.</w:t>
      </w:r>
    </w:p>
    <w:p w14:paraId="330FC49B" w14:textId="77777777" w:rsidR="00F224D8" w:rsidRPr="00F224D8" w:rsidRDefault="00F224D8" w:rsidP="00F224D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</w:pPr>
      <w:r w:rsidRPr="00F224D8">
        <w:rPr>
          <w:rFonts w:ascii="var(--markdown-title-font)" w:eastAsia="宋体" w:hAnsi="var(--markdown-title-font)" w:cs="Segoe UI"/>
          <w:b/>
          <w:bCs/>
          <w:color w:val="384248"/>
          <w:kern w:val="0"/>
          <w:sz w:val="36"/>
          <w:szCs w:val="36"/>
        </w:rPr>
        <w:lastRenderedPageBreak/>
        <w:t>Bonus: Reading user operation data</w:t>
      </w:r>
    </w:p>
    <w:p w14:paraId="7EF63171" w14:textId="77777777" w:rsidR="00F224D8" w:rsidRPr="00F224D8" w:rsidRDefault="00F224D8" w:rsidP="00F224D8">
      <w:pPr>
        <w:widowControl/>
        <w:shd w:val="clear" w:color="auto" w:fill="FFFFFF"/>
        <w:spacing w:after="225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ERC-4337 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User Operation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s are routed through the </w:t>
      </w:r>
      <w:proofErr w:type="spellStart"/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bdr w:val="none" w:sz="0" w:space="0" w:color="auto" w:frame="1"/>
        </w:rPr>
        <w:t>EntryPoint</w:t>
      </w:r>
      <w:proofErr w:type="spellEnd"/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 contract, so they need to be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parsed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differently than regular transactions. We recommend using a 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data API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that processes this data for you. Our </w:t>
      </w:r>
      <w:hyperlink r:id="rId17" w:tgtFrame="_self" w:history="1">
        <w:r w:rsidRPr="00F224D8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highlight w:val="yellow"/>
            <w:u w:val="single"/>
          </w:rPr>
          <w:t>Dat</w:t>
        </w:r>
        <w:r w:rsidRPr="00F224D8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highlight w:val="yellow"/>
            <w:u w:val="single"/>
          </w:rPr>
          <w:t>a</w:t>
        </w:r>
        <w:r w:rsidRPr="00F224D8">
          <w:rPr>
            <w:rFonts w:ascii="var(--markdown-font)" w:eastAsia="宋体" w:hAnsi="var(--markdown-font)" w:cs="Segoe UI"/>
            <w:color w:val="1679EF"/>
            <w:kern w:val="0"/>
            <w:sz w:val="27"/>
            <w:szCs w:val="27"/>
            <w:highlight w:val="yellow"/>
            <w:u w:val="single"/>
          </w:rPr>
          <w:t xml:space="preserve"> API</w:t>
        </w:r>
      </w:hyperlink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 does a lot of this parsing for you, but if you want more information you can use a service like </w:t>
      </w:r>
      <w:proofErr w:type="spellStart"/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begin"/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instrText>HYPERLINK "https://app.jiffyscan.xyz/" \t "_self"</w:instrText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</w:r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separate"/>
      </w:r>
      <w:r w:rsidRPr="00F224D8">
        <w:rPr>
          <w:rFonts w:ascii="var(--markdown-font)" w:eastAsia="宋体" w:hAnsi="var(--markdown-font)" w:cs="Segoe UI"/>
          <w:color w:val="1679EF"/>
          <w:kern w:val="0"/>
          <w:sz w:val="27"/>
          <w:szCs w:val="27"/>
          <w:highlight w:val="yellow"/>
          <w:u w:val="single"/>
        </w:rPr>
        <w:t>JiffyScan</w:t>
      </w:r>
      <w:proofErr w:type="spellEnd"/>
      <w:r w:rsidRPr="00F224D8">
        <w:rPr>
          <w:rFonts w:ascii="var(--markdown-font)" w:eastAsia="宋体" w:hAnsi="var(--markdown-font)" w:cs="Segoe UI" w:hint="eastAsia"/>
          <w:color w:val="384248"/>
          <w:kern w:val="0"/>
          <w:sz w:val="27"/>
          <w:szCs w:val="27"/>
          <w:highlight w:val="yellow"/>
        </w:rPr>
        <w:fldChar w:fldCharType="end"/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>.</w:t>
      </w:r>
    </w:p>
    <w:p w14:paraId="45D3B2AA" w14:textId="77777777" w:rsidR="00F224D8" w:rsidRPr="00F224D8" w:rsidRDefault="00F224D8" w:rsidP="00F224D8">
      <w:pPr>
        <w:widowControl/>
        <w:shd w:val="clear" w:color="auto" w:fill="FFFFFF"/>
        <w:jc w:val="left"/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</w:pPr>
      <w:proofErr w:type="spellStart"/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>JiffyScan's</w:t>
      </w:r>
      <w:proofErr w:type="spellEnd"/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  <w:highlight w:val="yellow"/>
        </w:rPr>
        <w:t xml:space="preserve"> block explorer</w:t>
      </w:r>
      <w:r w:rsidRPr="00F224D8">
        <w:rPr>
          <w:rFonts w:ascii="var(--markdown-font)" w:eastAsia="宋体" w:hAnsi="var(--markdown-font)" w:cs="Segoe UI"/>
          <w:color w:val="384248"/>
          <w:kern w:val="0"/>
          <w:sz w:val="27"/>
          <w:szCs w:val="27"/>
        </w:rPr>
        <w:t xml:space="preserve"> is a bit slow, but has the most features.</w:t>
      </w:r>
    </w:p>
    <w:p w14:paraId="6579EBE9" w14:textId="77777777" w:rsidR="00F224D8" w:rsidRPr="00F224D8" w:rsidRDefault="00F224D8" w:rsidP="00F224D8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384248"/>
          <w:kern w:val="0"/>
          <w:sz w:val="20"/>
          <w:szCs w:val="20"/>
        </w:rPr>
      </w:pPr>
      <w:r w:rsidRPr="00F224D8">
        <w:rPr>
          <w:rFonts w:ascii="Segoe UI" w:eastAsia="宋体" w:hAnsi="Segoe UI" w:cs="Segoe UI"/>
          <w:color w:val="384248"/>
          <w:kern w:val="0"/>
          <w:sz w:val="20"/>
          <w:szCs w:val="20"/>
        </w:rPr>
        <w:t>Updated 22 days ago</w:t>
      </w:r>
    </w:p>
    <w:p w14:paraId="4DE6BEC9" w14:textId="77777777" w:rsidR="001C5BE5" w:rsidRDefault="001C5BE5"/>
    <w:sectPr w:rsidR="001C5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10-23T16:01:00Z" w:initials="科林">
    <w:p w14:paraId="6905DB27" w14:textId="77777777" w:rsidR="00B773C9" w:rsidRDefault="00B773C9" w:rsidP="002A2CEC">
      <w:pPr>
        <w:pStyle w:val="a7"/>
      </w:pPr>
      <w:r>
        <w:rPr>
          <w:rStyle w:val="a6"/>
        </w:rPr>
        <w:annotationRef/>
      </w:r>
      <w:r>
        <w:t>我们建议使用paymaster服务，而不是自己构建一个。如果你自己建立一个，你需要管理链上流动性。</w:t>
      </w:r>
    </w:p>
  </w:comment>
  <w:comment w:id="1" w:author="科 林" w:date="2023-10-23T16:04:00Z" w:initials="科林">
    <w:p w14:paraId="460C0B80" w14:textId="77777777" w:rsidR="00AA4F2F" w:rsidRDefault="00AA4F2F">
      <w:pPr>
        <w:pStyle w:val="a7"/>
      </w:pPr>
      <w:r>
        <w:rPr>
          <w:rStyle w:val="a6"/>
        </w:rPr>
        <w:annotationRef/>
      </w:r>
      <w:r>
        <w:t>无论如何，在大多数情况下，使用一个链下批准无gas交易的paymaster比使用一个完全链上的paymaster要好。这种设计允许用户进行任何类型的交易，而不需要首先使用区块链的原生代币——也就是说，用户可以在他们的账户中使用ERC-20代币。</w:t>
      </w:r>
    </w:p>
    <w:p w14:paraId="5721F7FA" w14:textId="77777777" w:rsidR="00AA4F2F" w:rsidRDefault="00AA4F2F">
      <w:pPr>
        <w:pStyle w:val="a7"/>
      </w:pPr>
      <w:r>
        <w:t>问题：</w:t>
      </w:r>
    </w:p>
    <w:p w14:paraId="721D19DE" w14:textId="77777777" w:rsidR="00AA4F2F" w:rsidRDefault="00AA4F2F" w:rsidP="005C67D8">
      <w:pPr>
        <w:pStyle w:val="a7"/>
      </w:pPr>
      <w:r>
        <w:t>为什么是链下？paymaster难道不是链上的合约吗？</w:t>
      </w:r>
    </w:p>
  </w:comment>
  <w:comment w:id="2" w:author="科 林" w:date="2023-10-23T16:10:00Z" w:initials="科林">
    <w:p w14:paraId="5F3F95AA" w14:textId="77777777" w:rsidR="00F5786A" w:rsidRDefault="00AA4F2F">
      <w:pPr>
        <w:pStyle w:val="a7"/>
      </w:pPr>
      <w:r>
        <w:rPr>
          <w:rStyle w:val="a6"/>
        </w:rPr>
        <w:annotationRef/>
      </w:r>
      <w:r w:rsidR="00F5786A">
        <w:t>如果你使用paymaster来赞助你的应用程序的交易，我们强烈建议你使用单独的API key来赞助与你的paymaster的交易，以便可以把判断是否接受交易的逻辑放在server端。</w:t>
      </w:r>
    </w:p>
    <w:p w14:paraId="1C2C1EBC" w14:textId="77777777" w:rsidR="00F5786A" w:rsidRDefault="00F5786A" w:rsidP="005D56CD">
      <w:pPr>
        <w:pStyle w:val="a7"/>
      </w:pPr>
      <w:r>
        <w:t>问题：没看懂这个逻辑。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05DB27" w15:done="0"/>
  <w15:commentEx w15:paraId="721D19DE" w15:done="0"/>
  <w15:commentEx w15:paraId="1C2C1E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87EC9E" w16cex:dateUtc="2023-10-23T08:01:00Z"/>
  <w16cex:commentExtensible w16cex:durableId="56C68EF1" w16cex:dateUtc="2023-10-23T08:04:00Z"/>
  <w16cex:commentExtensible w16cex:durableId="68125BFC" w16cex:dateUtc="2023-10-23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05DB27" w16cid:durableId="3B87EC9E"/>
  <w16cid:commentId w16cid:paraId="721D19DE" w16cid:durableId="56C68EF1"/>
  <w16cid:commentId w16cid:paraId="1C2C1EBC" w16cid:durableId="68125B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markdown-font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markdown-title-font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F1"/>
    <w:rsid w:val="001C5BE5"/>
    <w:rsid w:val="00311EF1"/>
    <w:rsid w:val="0045270C"/>
    <w:rsid w:val="00506D29"/>
    <w:rsid w:val="006E3AB4"/>
    <w:rsid w:val="00897016"/>
    <w:rsid w:val="00A276E1"/>
    <w:rsid w:val="00AA4F2F"/>
    <w:rsid w:val="00B773C9"/>
    <w:rsid w:val="00E302F5"/>
    <w:rsid w:val="00F224D8"/>
    <w:rsid w:val="00F5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2FC9E-BCD2-44D2-AD7B-590F7EC3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24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224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24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224D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2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224D8"/>
    <w:rPr>
      <w:color w:val="0000FF"/>
      <w:u w:val="single"/>
    </w:rPr>
  </w:style>
  <w:style w:type="paragraph" w:customStyle="1" w:styleId="callout-heading">
    <w:name w:val="callout-heading"/>
    <w:basedOn w:val="a"/>
    <w:rsid w:val="00F22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llout-icon">
    <w:name w:val="callout-icon"/>
    <w:basedOn w:val="a0"/>
    <w:rsid w:val="00F224D8"/>
  </w:style>
  <w:style w:type="character" w:styleId="a5">
    <w:name w:val="Strong"/>
    <w:basedOn w:val="a0"/>
    <w:uiPriority w:val="22"/>
    <w:qFormat/>
    <w:rsid w:val="00F224D8"/>
    <w:rPr>
      <w:b/>
      <w:bCs/>
    </w:rPr>
  </w:style>
  <w:style w:type="character" w:customStyle="1" w:styleId="glossaryitem-trigger">
    <w:name w:val="glossaryitem-trigger"/>
    <w:basedOn w:val="a0"/>
    <w:rsid w:val="00F224D8"/>
  </w:style>
  <w:style w:type="paragraph" w:customStyle="1" w:styleId="dateline">
    <w:name w:val="dateline"/>
    <w:basedOn w:val="a"/>
    <w:rsid w:val="00F224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B773C9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B773C9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B773C9"/>
  </w:style>
  <w:style w:type="paragraph" w:styleId="a9">
    <w:name w:val="annotation subject"/>
    <w:basedOn w:val="a7"/>
    <w:next w:val="a7"/>
    <w:link w:val="aa"/>
    <w:uiPriority w:val="99"/>
    <w:semiHidden/>
    <w:unhideWhenUsed/>
    <w:rsid w:val="00B773C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B77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38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681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943">
                  <w:blockQuote w:val="1"/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24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ackup.sh/docs/erc-4337-key-management-tools" TargetMode="Externa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eb3auth.io/" TargetMode="External"/><Relationship Id="rId12" Type="http://schemas.openxmlformats.org/officeDocument/2006/relationships/hyperlink" Target="https://docs.stackup.sh/docs/erc-4337-developer-sdks" TargetMode="External"/><Relationship Id="rId17" Type="http://schemas.openxmlformats.org/officeDocument/2006/relationships/hyperlink" Target="https://docs.stackup.sh/docs/data-api" TargetMode="External"/><Relationship Id="rId2" Type="http://schemas.openxmlformats.org/officeDocument/2006/relationships/settings" Target="settings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stackup.sh/docs/web3auth-nextjs-app" TargetMode="External"/><Relationship Id="rId11" Type="http://schemas.openxmlformats.org/officeDocument/2006/relationships/hyperlink" Target="https://docs.stackup.sh/docs/useropjs" TargetMode="External"/><Relationship Id="rId5" Type="http://schemas.openxmlformats.org/officeDocument/2006/relationships/image" Target="media/image1.png"/><Relationship Id="rId15" Type="http://schemas.microsoft.com/office/2016/09/relationships/commentsIds" Target="commentsIds.xml"/><Relationship Id="rId10" Type="http://schemas.openxmlformats.org/officeDocument/2006/relationships/hyperlink" Target="https://docs.stackup.sh/docs/erc-4337-contract-account-libraries" TargetMode="External"/><Relationship Id="rId19" Type="http://schemas.microsoft.com/office/2011/relationships/people" Target="people.xml"/><Relationship Id="rId4" Type="http://schemas.openxmlformats.org/officeDocument/2006/relationships/hyperlink" Target="https://docs.stackup.sh/edit/recommendations" TargetMode="External"/><Relationship Id="rId9" Type="http://schemas.openxmlformats.org/officeDocument/2006/relationships/hyperlink" Target="https://eips.ethereum.org/EIPS/eip-6900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5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24</cp:revision>
  <dcterms:created xsi:type="dcterms:W3CDTF">2023-10-20T10:28:00Z</dcterms:created>
  <dcterms:modified xsi:type="dcterms:W3CDTF">2023-10-23T08:39:00Z</dcterms:modified>
</cp:coreProperties>
</file>