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Mahi Pono &amp; East Maui Water — Paper Outline</w:t>
      </w:r>
    </w:p>
    <w:p>
      <w:pPr/>
      <w:r>
        <w:t xml:space="preserve">Sep 25, 2026</w:t>
      </w:r>
      <w:r>
        <w:t xml:space="preserve"> · </w:t>
      </w:r>
      <w:r>
        <w:t xml:space="preserve">@Cori Mackie</w:t>
      </w:r>
    </w:p>
    <w:p>
      <w:pPr>
        <w:pStyle w:val="Heading2"/>
      </w:pPr>
      <w:r>
        <w:t xml:space="preserve">I. Central Economic Question</w:t>
      </w:r>
    </w:p>
    <w:p>
      <w:pPr/>
      <w:r>
        <w:t xml:space="preserve">How should a scarce public resource — East Maui stream water — be priced and allocated among competing uses?</w:t>
      </w:r>
    </w:p>
    <w:p>
      <w:pPr/>
      <w:r>
        <w:t xml:space="preserve">Examine whether the current system encourages an economically efficient use of water, while also considering that water has competing agricultural, environmental, cultural and community uses.</w:t>
      </w:r>
    </w:p>
    <w:p>
      <w:pPr>
        <w:pStyle w:val="Heading2"/>
      </w:pPr>
      <w:r>
        <w:t xml:space="preserve">Page 1 — Background and the economic problem</w:t>
      </w:r>
    </w:p>
    <w:p>
      <w:pPr>
        <w:pStyle w:val="ListParagraph"/>
        <w:numPr>
          <w:ilvl w:val="0"/>
          <w:numId w:val="2"/>
        </w:numPr>
      </w:pPr>
      <w:r>
        <w:t xml:space="preserve">Mahi Pono's acquisition of the former HC&amp;S agricultural land.</w:t>
      </w:r>
    </w:p>
    <w:p>
      <w:pPr>
        <w:pStyle w:val="ListParagraph"/>
        <w:numPr>
          <w:ilvl w:val="0"/>
          <w:numId w:val="2"/>
        </w:numPr>
      </w:pPr>
      <w:r>
        <w:t xml:space="preserve">Why East Maui water and the EMI irrigation system matter to agricultural production.</w:t>
      </w:r>
    </w:p>
    <w:p>
      <w:pPr>
        <w:pStyle w:val="ListParagraph"/>
        <w:numPr>
          <w:ilvl w:val="0"/>
          <w:numId w:val="2"/>
        </w:numPr>
      </w:pPr>
      <w:r>
        <w:t xml:space="preserve">Water is a scarce public resource rather than something Mahi Pono simply owns.</w:t>
      </w:r>
    </w:p>
    <w:p>
      <w:pPr>
        <w:pStyle w:val="ListParagraph"/>
        <w:numPr>
          <w:ilvl w:val="0"/>
          <w:numId w:val="2"/>
        </w:numPr>
      </w:pPr>
      <w:r>
        <w:t xml:space="preserve">Brief explanation of the permit/access arrangement and what Mahi Pono pays.</w:t>
      </w:r>
    </w:p>
    <w:p>
      <w:pPr>
        <w:pStyle w:val="ListParagraph"/>
        <w:numPr>
          <w:ilvl w:val="0"/>
          <w:numId w:val="2"/>
        </w:numPr>
      </w:pPr>
      <w:r>
        <w:t xml:space="preserve">The tension: the price paid for access may be very different from the economic value that access creates.</w:t>
      </w:r>
    </w:p>
    <w:p>
      <w:pPr/>
      <w:r>
        <w:rPr>
          <w:b/>
        </w:rPr>
        <w:t xml:space="preserve">Research notes to verify (from news reports, not yet checked against primaries):</w:t>
      </w:r>
    </w:p>
    <w:p>
      <w:pPr>
        <w:pStyle w:val="ListParagraph"/>
        <w:numPr>
          <w:ilvl w:val="0"/>
          <w:numId w:val="3"/>
        </w:numPr>
      </w:pPr>
      <w:r>
        <w:t xml:space="preserve">The access is a </w:t>
      </w:r>
      <w:r>
        <w:rPr>
          <w:b/>
        </w:rPr>
        <w:t xml:space="preserve">revocable permit</w:t>
      </w:r>
      <w:r>
        <w:t xml:space="preserve"> from the state Board of Land and Natural Resources (BLNR), approved 5–0 in December 2024 and starting January 1, 2025. It was issued to Alexander &amp; Baldwin and East Maui Irrigation (EMI).</w:t>
      </w:r>
    </w:p>
    <w:p>
      <w:pPr>
        <w:pStyle w:val="ListParagraph"/>
        <w:numPr>
          <w:ilvl w:val="0"/>
          <w:numId w:val="3"/>
        </w:numPr>
      </w:pPr>
      <w:r>
        <w:t xml:space="preserve">It serves nearly 10,600 acres of Mahi Pono farmland and reserves 5.25 million gallons a day for Maui County's Upcountry drinking water.</w:t>
      </w:r>
    </w:p>
    <w:p>
      <w:pPr>
        <w:pStyle w:val="ListParagraph"/>
        <w:numPr>
          <w:ilvl w:val="0"/>
          <w:numId w:val="3"/>
        </w:numPr>
      </w:pPr>
      <w:r>
        <w:t xml:space="preserve">In June 2025 A&amp;B transferred full ownership of EMI to Mahi Pono.</w:t>
      </w:r>
    </w:p>
    <w:p>
      <w:pPr>
        <w:pStyle w:val="ListParagraph"/>
        <w:numPr>
          <w:ilvl w:val="0"/>
          <w:numId w:val="3"/>
        </w:numPr>
      </w:pPr>
      <w:r>
        <w:t xml:space="preserve">In August 2026 the BLNR declined to move forward with a 30-year license auction for the system, so access still runs on a year-to-year permit.</w:t>
      </w:r>
    </w:p>
    <w:p>
      <w:pPr>
        <w:pStyle w:val="Heading2"/>
      </w:pPr>
      <w:r>
        <w:t xml:space="preserve">Pages 1–2 — Scarcity, price, and supply and demand</w:t>
      </w:r>
    </w:p>
    <w:p>
      <w:pPr/>
      <w:r>
        <w:rPr>
          <w:b/>
        </w:rPr>
        <w:t xml:space="preserve">Graph 1: Supply and Demand for East Maui Water</w:t>
      </w:r>
    </w:p>
    <w:p>
      <w:pPr/>
      <w:r>
        <w:t xml:space="preserve">Explain the approximately $283,000 payment and the $6.3 million value estimate, once I verify exactly what each number represents.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Number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appears to be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$283,176 a year</w:t>
            </w:r>
          </w:p>
        </w:tc>
        <w:tc>
          <w:tcPr>
            <w:tcW w:w="3120" w:type="dxa"/>
          </w:tcPr>
          <w:p>
            <w:pPr/>
            <w:r>
              <w:t xml:space="preserve">BLNR permit rent: $23,598 a month. A separate $139,463 a year goes to watershed management.</w:t>
            </w:r>
          </w:p>
        </w:tc>
        <w:tc>
          <w:tcPr>
            <w:tcW w:w="3120" w:type="dxa"/>
          </w:tcPr>
          <w:p>
            <w:pPr/>
            <w:r>
              <w:t xml:space="preserve">Reported; confirm in DLNR submittal D-9T (Dec. 2024)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$6.3 million</w:t>
            </w:r>
          </w:p>
        </w:tc>
        <w:tc>
          <w:tcPr>
            <w:tcW w:w="3120" w:type="dxa"/>
          </w:tcPr>
          <w:p>
            <w:pPr/>
            <w:r>
              <w:t xml:space="preserve">Not found in any source reached so far</w:t>
            </w:r>
          </w:p>
        </w:tc>
        <w:tc>
          <w:tcPr>
            <w:tcW w:w="3120" w:type="dxa"/>
          </w:tcPr>
          <w:p>
            <w:pPr/>
            <w:r>
              <w:t xml:space="preserve">Find where I first saw it, or drop it</w:t>
            </w:r>
          </w:p>
        </w:tc>
      </w:tr>
    </w:tbl>
    <w:p>
      <w:pPr/>
      <w:r>
        <w:rPr>
          <w:b/>
        </w:rPr>
        <w:t xml:space="preserve">Open questions for Graph 1 (from Adam's feedback):</w:t>
      </w:r>
    </w:p>
    <w:p>
      <w:pPr>
        <w:pStyle w:val="ListParagraph"/>
        <w:numPr>
          <w:ilvl w:val="0"/>
          <w:numId w:val="4"/>
        </w:numPr>
      </w:pPr>
      <w:r>
        <w:t xml:space="preserve">☐ Supply axis: stream flow in million gallons a day (mgd) can carry measured data.</w:t>
      </w:r>
    </w:p>
    <w:p>
      <w:pPr>
        <w:pStyle w:val="ListParagraph"/>
        <w:numPr>
          <w:ilvl w:val="0"/>
          <w:numId w:val="4"/>
        </w:numPr>
      </w:pPr>
      <w:r>
        <w:t xml:space="preserve">☐ Demand: the permit rent is one price point. Is there a second one (an appraisal, or the 30-year license proposal)?</w:t>
      </w:r>
    </w:p>
    <w:p>
      <w:pPr>
        <w:pStyle w:val="ListParagraph"/>
        <w:numPr>
          <w:ilvl w:val="0"/>
          <w:numId w:val="4"/>
        </w:numPr>
      </w:pPr>
      <w:r>
        <w:t xml:space="preserve">☐ If the $6.3 million turns out to value the water itself, the gap between it and the rent is the rent on a public resource.</w:t>
      </w:r>
    </w:p>
    <w:p>
      <w:pPr>
        <w:pStyle w:val="Heading2"/>
      </w:pPr>
      <w:r>
        <w:t xml:space="preserve">Pages 2–3 — Opportunity cost and marginal analysis</w:t>
      </w:r>
    </w:p>
    <w:p>
      <w:pPr/>
      <w:r>
        <w:t xml:space="preserve">What is Maui giving up when water is allocated to one use rather than another?</w:t>
      </w:r>
    </w:p>
    <w:p>
      <w:pPr/>
      <w:r>
        <w:rPr>
          <w:b/>
        </w:rPr>
        <w:t xml:space="preserve">Graph 2: Marginal Benefit vs. Marginal Cost</w:t>
      </w:r>
    </w:p>
    <w:p>
      <w:pPr/>
      <w:r>
        <w:t xml:space="preserve">MB = MC → Q*</w:t>
      </w:r>
    </w:p>
    <w:p>
      <w:pPr/>
      <w:r>
        <w:t xml:space="preserve">That is the opportunity cost.</w:t>
      </w:r>
    </w:p>
    <w:p>
      <w:pPr/>
      <w:r>
        <w:rPr>
          <w:b/>
        </w:rPr>
        <w:t xml:space="preserve">Open questions for Graph 2 (from Adam's feedback):</w:t>
      </w:r>
    </w:p>
    <w:p>
      <w:pPr>
        <w:pStyle w:val="ListParagraph"/>
        <w:numPr>
          <w:ilvl w:val="0"/>
          <w:numId w:val="5"/>
        </w:numPr>
      </w:pPr>
      <w:r>
        <w:t xml:space="preserve">☐ Whose marginal benefit, in which use? Agricultural, environmental, cultural, community.</w:t>
      </w:r>
    </w:p>
    <w:p>
      <w:pPr>
        <w:pStyle w:val="ListParagraph"/>
        <w:numPr>
          <w:ilvl w:val="0"/>
          <w:numId w:val="5"/>
        </w:numPr>
      </w:pPr>
      <w:r>
        <w:t xml:space="preserve">☐ The marginal cost of the last unit sent to agriculture is the marginal benefit that unit would have had in the stream.</w:t>
      </w:r>
    </w:p>
    <w:p>
      <w:pPr>
        <w:pStyle w:val="ListParagraph"/>
        <w:numPr>
          <w:ilvl w:val="0"/>
          <w:numId w:val="5"/>
        </w:numPr>
      </w:pPr>
      <w:r>
        <w:t xml:space="preserve">☐ Reword the line under the graph: the opportunity cost is the value of the forgone use, not Q* itself.</w:t>
      </w:r>
    </w:p>
    <w:p>
      <w:pPr>
        <w:pStyle w:val="Heading2"/>
      </w:pPr>
      <w:r>
        <w:t xml:space="preserve">Pages 3–4 — Recommendation, and conclusion</w:t>
      </w:r>
    </w:p>
    <w:p>
      <w:pPr/>
      <w:r>
        <w:t xml:space="preserve">Your original heading was "Mahi Pono as an investment, and conclusion." Adam says the investment part earns its page only as the buyer's elasticity of demand: whether the farm stays viable at a higher water price. Otherwise cut it.</w:t>
      </w:r>
    </w:p>
    <w:p>
      <w:pPr/>
      <w:r>
        <w:rPr>
          <w:b/>
        </w:rPr>
        <w:t xml:space="preserve">Decision-maker (to choose):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BLNR</w:t>
      </w:r>
      <w:r>
        <w:t xml:space="preserve"> sets the permit rent and license terms: the price.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CWRM</w:t>
      </w:r>
      <w:r>
        <w:t xml:space="preserve"> (Commission on Water Resource Management) sets the instream flow standards: how much water stays in the streams.</w:t>
      </w:r>
    </w:p>
    <w:p>
      <w:pPr/>
      <w:r>
        <w:rPr>
          <w:b/>
        </w:rPr>
        <w:t xml:space="preserve">My recommendation (to write):</w:t>
      </w:r>
      <w:r>
        <w:t xml:space="preserve"> a pricing or allocation rule that body could adopt.</w:t>
      </w:r>
    </w:p>
    <w:p>
      <w:pPr/>
      <w:r>
        <w:t xml:space="preserve">Three economic concepts: scarcity/supply and demand, marginal analysis, and opportunity cost.</w:t>
      </w:r>
    </w:p>
    <w:p>
      <w:pPr>
        <w:pStyle w:val="Heading2"/>
      </w:pPr>
      <w:r>
        <w:t xml:space="preserve">Sources to verify</w:t>
      </w:r>
    </w:p>
    <w:p>
      <w:pPr/>
      <w:r>
        <w:t xml:space="preserve">Adam accepts primaries only, each cited by name with the date you retrieved it. The news links below are leads to those primaries, not citations.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to check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Retrieved</w:t>
            </w:r>
          </w:p>
        </w:tc>
      </w:tr>
      <w:tr>
        <w:tc>
          <w:tcPr>
            <w:tcW w:w="234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DLNR submittal D-9T, BLNR meeting Dec. 2024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Primary</w:t>
            </w:r>
          </w:p>
        </w:tc>
        <w:tc>
          <w:tcPr>
            <w:tcW w:w="2340" w:type="dxa"/>
          </w:tcPr>
          <w:p>
            <w:pPr/>
            <w:r>
              <w:t xml:space="preserve">The $23,598/month rent, the permit numbers, how the rent was set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DLNR submittal D-7, BLNR meeting Aug. 14, 2026 (30-year license proposal)</w:t>
            </w:r>
          </w:p>
        </w:tc>
        <w:tc>
          <w:tcPr>
            <w:tcW w:w="2340" w:type="dxa"/>
          </w:tcPr>
          <w:p>
            <w:pPr/>
            <w:r>
              <w:t xml:space="preserve">Primary</w:t>
            </w:r>
          </w:p>
        </w:tc>
        <w:tc>
          <w:tcPr>
            <w:tcW w:w="2340" w:type="dxa"/>
          </w:tcPr>
          <w:p>
            <w:pPr/>
            <w:r>
              <w:t xml:space="preserve">Any appraisal or minimum rent for the water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DLNR news release, Aug. 14, 2026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Primary</w:t>
            </w:r>
          </w:p>
        </w:tc>
        <w:tc>
          <w:tcPr>
            <w:tcW w:w="2340" w:type="dxa"/>
          </w:tcPr>
          <w:p>
            <w:pPr/>
            <w:r>
              <w:t xml:space="preserve">What the board decided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Maui Now, Dec. 16, 2024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  <w:tc>
          <w:tcPr>
            <w:tcW w:w="2340" w:type="dxa"/>
          </w:tcPr>
          <w:p>
            <w:pPr/>
            <w:r>
              <w:t xml:space="preserve">Reports the $23,598 rent, 5.25 mgd and 10,600 acres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Maui News, Dec. 2024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  <w:tc>
          <w:tcPr>
            <w:tcW w:w="2340" w:type="dxa"/>
          </w:tcPr>
          <w:p>
            <w:pPr/>
            <w:r>
              <w:t xml:space="preserve">Same permit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Star-Advertiser, Aug. 15, 2026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  <w:tc>
          <w:tcPr>
            <w:tcW w:w="2340" w:type="dxa"/>
          </w:tcPr>
          <w:p>
            <w:pPr/>
            <w:r>
              <w:t xml:space="preserve">BLNR declines the 30-year license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Maui Now, June 24, 2025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  <w:tc>
          <w:tcPr>
            <w:tcW w:w="2340" w:type="dxa"/>
          </w:tcPr>
          <w:p>
            <w:pPr/>
            <w:r>
              <w:t xml:space="preserve">A&amp;B transfers EMI to Mahi Pono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☐ Where did the $6.3 million come from (article, reading, slide)?</w:t>
      </w:r>
    </w:p>
    <w:p>
      <w:pPr>
        <w:pStyle w:val="Heading2"/>
      </w:pPr>
      <w:r>
        <w:t xml:space="preserve">Adam's feedback, round 1 (Sept. 24, 2026)</w:t>
      </w:r>
    </w:p>
    <w:p>
      <w:pPr>
        <w:pStyle w:val="ListParagraph"/>
        <w:numPr>
          <w:ilvl w:val="0"/>
          <w:numId w:val="8"/>
        </w:numPr>
      </w:pPr>
      <w:r>
        <w:t xml:space="preserve">☐ 1. Verify what the $283,000 and the $6.3 million each represent, from primaries, with retrieval dates.</w:t>
      </w:r>
    </w:p>
    <w:p>
      <w:pPr>
        <w:pStyle w:val="ListParagraph"/>
        <w:numPr>
          <w:ilvl w:val="0"/>
          <w:numId w:val="8"/>
        </w:numPr>
      </w:pPr>
      <w:r>
        <w:t xml:space="preserve">☐ 2. Name the decision-maker and draft the recommendation as a pricing or allocation rule.</w:t>
      </w:r>
    </w:p>
    <w:p>
      <w:pPr>
        <w:pStyle w:val="ListParagraph"/>
        <w:numPr>
          <w:ilvl w:val="0"/>
          <w:numId w:val="8"/>
        </w:numPr>
      </w:pPr>
      <w:r>
        <w:t xml:space="preserve">☐ 3. Decide what each graph plots and which one carries measured data.</w:t>
      </w:r>
    </w:p>
    <w:p>
      <w:pPr>
        <w:pStyle w:val="ListParagraph"/>
        <w:numPr>
          <w:ilvl w:val="0"/>
          <w:numId w:val="8"/>
        </w:numPr>
      </w:pPr>
      <w:r>
        <w:t xml:space="preserve">☐ 4. Fold the investment section into the pricing argument, or cut it.</w:t>
      </w:r>
    </w:p>
    <w:p>
      <w:pPr/>
      <w:r>
        <w:t xml:space="preserve">His full notes are in the repo at </w:t>
      </w:r>
      <w:r>
        <w:rPr>
          <w:rStyle w:val="CodeChar"/>
        </w:rPr>
        <w:t xml:space="preserve">papers/mahi-pono-east-maui-water/feedback/2026-09-24-adam.md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lnr.hawaii.gov/wp-content/uploads/2024/12/D-9T-12-12.pdf" TargetMode="External"/><Relationship Id="rId4" Type="http://schemas.openxmlformats.org/officeDocument/2006/relationships/hyperlink" Target="https://dlnr.hawaii.gov/blog/2026/08/14/nr26-100/" TargetMode="External"/><Relationship Id="rId5" Type="http://schemas.openxmlformats.org/officeDocument/2006/relationships/hyperlink" Target="https://mauinow.com/2024/12/16/revocable-permit-granted-with-amendments-for-use-of-east-maui-stream-water/" TargetMode="External"/><Relationship Id="rId6" Type="http://schemas.openxmlformats.org/officeDocument/2006/relationships/hyperlink" Target="https://www.mauinews.com/news/local-news/2024/12/state-land-board-approves-revocable-water-permit-for-east-maui-water/" TargetMode="External"/><Relationship Id="rId7" Type="http://schemas.openxmlformats.org/officeDocument/2006/relationships/hyperlink" Target="https://www.staradvertiser.com/2026/08/15/hawaii-news/blnr-nixes-long-term-east-maui-water-license-for-mahi-pono/" TargetMode="External"/><Relationship Id="rId8" Type="http://schemas.openxmlformats.org/officeDocument/2006/relationships/hyperlink" Target="https://mauinow.com/2025/06/24/end-of-an-era-alexander-baldwin-transfers-full-ownership-of-east-maui-irrigation-to-mahi-pono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Mahi Pono &amp; East Maui Water — Paper Outline</dc:title>
  <dc:description>Claude Docs node/91de46b8-b889@8 docx-w6</dc:description>
  <cp:revision>8</cp:revision>
</cp:coreProperties>
</file>