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6300"/>
        <w:gridCol w:w="2205"/>
        <w:tblGridChange w:id="0">
          <w:tblGrid>
            <w:gridCol w:w="495"/>
            <w:gridCol w:w="6300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color w:val="09a49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a493"/>
                <w:sz w:val="22"/>
                <w:szCs w:val="22"/>
                <w:rtl w:val="0"/>
              </w:rPr>
              <w:t xml:space="preserve">CRITÈRES DE Q/C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color w:val="09a49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a493"/>
                <w:sz w:val="22"/>
                <w:szCs w:val="22"/>
                <w:rtl w:val="0"/>
              </w:rPr>
              <w:t xml:space="preserve">NOTE D'ÉVALUATION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" w:right="0" w:hanging="307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Pertinence Climatique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Ce projet est-il globalement conforme aux ambitions climatiques du Bénin telles qu’énoncées dans les documents de politique nationale (par exemple, la stratégie à faible émission de carbone et résiliente au changement climatique du Bénin, etc.) ?</w:t>
              <w:br w:type="textWrapping"/>
            </w:r>
          </w:p>
        </w:tc>
        <w:tc>
          <w:tcPr/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Le projet est-il mis en œuvre dans un secteur vulnérable au climat ou critique pour le climat, tel qu’identifié dans les documents NDC et PANA du Bénin ?</w:t>
              <w:br w:type="textWrapping"/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Le projet peut-il être classé comme un projet « purement climatique » (c’est-à-dire où l’atténuation et/ou l’adaptation sont un objectif principal) ou non sur la base des informations disponibles ?</w:t>
              <w:br w:type="textWrapping"/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" w:right="0" w:hanging="28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Sensibilité Climatique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L’effet net du projet sur les émissions de GES a-t-il été pris en compte dans le processus d’évaluation, le cas échéant ?</w:t>
              <w:br w:type="textWrapping"/>
            </w:r>
          </w:p>
        </w:tc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Tous les principaux risques et dangers climatiques, en ce qui concerne le projet, ont-ils été clairement identifiés ?</w:t>
              <w:br w:type="textWrapping"/>
            </w:r>
          </w:p>
        </w:tc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Le niveau/la profondeur globale de l’évaluation des risques climatiques du projet correspondent-ils à son degré de blocage ou d’irréversibilité ?</w:t>
              <w:br w:type="textWrapping"/>
            </w:r>
          </w:p>
        </w:tc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Des mesures d’adaptation appropriées ont-elles été sélectionnées si nécessaire ?</w:t>
              <w:br w:type="textWrapping"/>
            </w:r>
          </w:p>
        </w:tc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Une justification appropriée a-t-elle été apportée aux mesures d’adaptation sélectionnées (soit par l’intermédiaire de l’analyse comparative, soit par la priorisation des mesures sans regrets/à faibles regrets) ?</w:t>
              <w:br w:type="textWrapping"/>
            </w:r>
          </w:p>
        </w:tc>
        <w:tc>
          <w:tcPr/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Des risques potentiels de mauvaise adaptation ont-ils été signalés pour les mesures d’adaptation sélectionnées ?</w:t>
            </w:r>
          </w:p>
        </w:tc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" w:right="0" w:hanging="28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Suivi et Évaluation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Existe-t-il des capacités appropriées pour mettre en œuvre les mesures d’adaptation sélectionnées si nécessaire ?</w:t>
            </w:r>
          </w:p>
        </w:tc>
        <w:tc>
          <w:tcPr/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Des examens périodiques et des mécanismes de rapport sont-ils en place pour suivre les progrès de la mise en œuvre ?</w:t>
            </w:r>
          </w:p>
        </w:tc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Passable 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Renvoyer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accepté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 applicable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dae9f7" w:val="clea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Critères de rejet: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de 4 notes « 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nvoyer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»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de 2 notes « Non accepté »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ou plusieurs questions non complétées</w: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widowControl w:val="0"/>
      <w:spacing w:line="276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2"/>
      <w:tblW w:w="10050.0" w:type="dxa"/>
      <w:jc w:val="left"/>
      <w:tblInd w:w="8.0" w:type="dxa"/>
      <w:tblBorders>
        <w:bottom w:color="000000" w:space="0" w:sz="4" w:val="single"/>
      </w:tblBorders>
      <w:tblLayout w:type="fixed"/>
      <w:tblLook w:val="0000"/>
    </w:tblPr>
    <w:tblGrid>
      <w:gridCol w:w="5460"/>
      <w:gridCol w:w="4590"/>
      <w:tblGridChange w:id="0">
        <w:tblGrid>
          <w:gridCol w:w="5460"/>
          <w:gridCol w:w="4590"/>
        </w:tblGrid>
      </w:tblGridChange>
    </w:tblGrid>
    <w:tr>
      <w:trPr>
        <w:cantSplit w:val="0"/>
        <w:trHeight w:val="1268.14453125" w:hRule="atLeast"/>
        <w:tblHeader w:val="0"/>
      </w:trPr>
      <w:tc>
        <w:tcPr>
          <w:tcBorders>
            <w:bottom w:color="ffffff" w:space="0" w:sz="4" w:val="single"/>
          </w:tcBorders>
        </w:tcPr>
        <w:p w:rsidR="00000000" w:rsidDel="00000000" w:rsidP="00000000" w:rsidRDefault="00000000" w:rsidRPr="00000000" w14:paraId="00000057">
          <w:pPr>
            <w:spacing w:before="120" w:line="288" w:lineRule="auto"/>
            <w:rPr>
              <w:rFonts w:ascii="Arial" w:cs="Arial" w:eastAsia="Arial" w:hAnsi="Arial"/>
              <w:b w:val="1"/>
              <w:color w:val="434343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9a493"/>
              <w:sz w:val="28"/>
              <w:szCs w:val="28"/>
              <w:rtl w:val="0"/>
            </w:rPr>
            <w:t xml:space="preserve">CHECKLIST DE </w:t>
            <w:br w:type="textWrapping"/>
            <w:t xml:space="preserve">CONTRÔLE QUALITÉ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ffffff" w:space="0" w:sz="4" w:val="single"/>
          </w:tcBorders>
        </w:tcPr>
        <w:p w:rsidR="00000000" w:rsidDel="00000000" w:rsidP="00000000" w:rsidRDefault="00000000" w:rsidRPr="00000000" w14:paraId="00000058">
          <w:pPr>
            <w:ind w:left="-2692" w:firstLine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</w:rPr>
            <w:drawing>
              <wp:inline distB="114300" distT="114300" distL="114300" distR="114300">
                <wp:extent cx="2351723" cy="972169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723" cy="9721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tabs>
        <w:tab w:val="center" w:leader="none" w:pos="4819"/>
        <w:tab w:val="right" w:leader="none" w:pos="9071"/>
      </w:tabs>
      <w:spacing w:after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▢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96D0E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96D0E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96D0E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96D0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96D0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96D0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96D0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96D0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96D0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96D0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96D0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96D0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96D0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96D0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96D0E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96D0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96D0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96D0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96D0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96D0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96D0E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3B57C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48cqjgltKExexiTVyKu95vN9w==">CgMxLjA4AHIhMXFkeVdpQUJwZEdQMFVDYmphMmVtZHFzVF8zNTRnOVpt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2024-11-10T22:41:00Z</dcterms:created>
  <dc:creator>Mike Nkansah</dc:creator>
</cp:coreProperties>
</file>