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0" w:name="parameters-table"/>
      <w:r>
        <w:t xml:space="preserve">Parameters table</w:t>
      </w:r>
      <w:bookmarkEnd w:id="20"/>
    </w:p>
    <w:p>
      <w:pPr>
        <w:pStyle w:val="Heading2"/>
      </w:pPr>
      <w:bookmarkStart w:id="21" w:name="population-characteristics"/>
      <w:r>
        <w:t xml:space="preserve">Population characteristics</w:t>
      </w:r>
      <w:bookmarkEnd w:id="21"/>
    </w:p>
    <w:tbl>
      <w:tblPr>
        <w:tblStyle w:val="Table"/>
        <w:tblW w:type="pct" w:w="5000.0"/>
        <w:tblLook w:firstRow="1"/>
      </w:tblPr>
      <w:tblGrid>
        <w:gridCol w:w="1769"/>
        <w:gridCol w:w="61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 Schedule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m</m:t>
                  </m:r>
                  <m:r>
                    <m:t>o</m:t>
                  </m:r>
                  <m:r>
                    <m:t>r</m:t>
                  </m:r>
                  <m:r>
                    <m:t>n</m:t>
                  </m:r>
                  <m:r>
                    <m:t>i</m:t>
                  </m:r>
                  <m:r>
                    <m:t>n</m:t>
                  </m:r>
                  <m:r>
                    <m:t>g</m:t>
                  </m:r>
                </m:sub>
              </m:sSub>
              <m:r>
                <m:t>=</m:t>
              </m:r>
              <m:r>
                <m:t>0.4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n</m:t>
                  </m:r>
                  <m:r>
                    <m:t>o</m:t>
                  </m:r>
                  <m:r>
                    <m:t>o</m:t>
                  </m:r>
                  <m:r>
                    <m:t>n</m:t>
                  </m:r>
                </m:sub>
              </m:sSub>
              <m:r>
                <m:t>=</m:t>
              </m:r>
              <m:r>
                <m:t>0.4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  <m:r>
                    <m:t>i</m:t>
                  </m:r>
                  <m:r>
                    <m:t>g</m:t>
                  </m:r>
                  <m:r>
                    <m:t>h</m:t>
                  </m:r>
                  <m:r>
                    <m:t>t</m:t>
                  </m:r>
                </m:sub>
              </m:sSub>
              <m:r>
                <m:t>=</m:t>
              </m:r>
              <m:r>
                <m:t>0.2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Staff type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C</m:t>
                  </m:r>
                  <m:r>
                    <m:t>N</m:t>
                  </m:r>
                </m:sub>
              </m:sSub>
              <m:r>
                <m:t>=</m:t>
              </m:r>
              <m:r>
                <m:t>0.6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R</m:t>
                  </m:r>
                  <m:r>
                    <m:t>N</m:t>
                  </m:r>
                </m:sub>
              </m:sSub>
              <m:r>
                <m:t>=</m:t>
              </m:r>
              <m:r>
                <m:t>0.15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L</m:t>
                  </m:r>
                  <m:r>
                    <m:t>P</m:t>
                  </m:r>
                  <m:r>
                    <m:t>N</m:t>
                  </m:r>
                </m:sub>
              </m:sSub>
              <m:r>
                <m:t>=</m:t>
              </m:r>
              <m:r>
                <m:t>0.15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CN contacts per hour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</m:t>
              </m:r>
              <m:r>
                <m:t>0.7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0.3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RN contacts per hour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</m:t>
              </m:r>
              <m:r>
                <m:t>0.25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=</m:t>
              </m:r>
              <m:r>
                <m:t>0.75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LPN contacts per hour</w:t>
            </w:r>
          </w:p>
        </w:tc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i</m:t>
              </m:r>
              <m:r>
                <m:t>n</m:t>
              </m:r>
              <m:r>
                <m:t>o</m:t>
              </m:r>
              <m:r>
                <m:t>m</m:t>
              </m:r>
              <m:r>
                <m:t>∼</m:t>
              </m:r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  <m:r>
                <m:t>=</m:t>
              </m:r>
              <m:r>
                <m:t>0.15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=</m:t>
              </m:r>
              <m:r>
                <m:t>0.2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=</m:t>
              </m:r>
              <m:r>
                <m:t>0.25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  <m:r>
                <m:t>=</m:t>
              </m:r>
              <m:r>
                <m:t>0.2</m:t>
              </m:r>
              <m:r>
                <m:t>,</m:t>
              </m:r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  <m:r>
                <m:t>=</m:t>
              </m:r>
              <m:r>
                <m:t>0.2</m:t>
              </m:r>
              <m:r>
                <m:t>)</m:t>
              </m:r>
            </m:oMath>
          </w:p>
        </w:tc>
      </w:tr>
    </w:tbl>
    <w:p>
      <w:pPr>
        <w:pStyle w:val="Heading2"/>
      </w:pPr>
      <w:bookmarkStart w:id="22" w:name="infection"/>
      <w:r>
        <w:t xml:space="preserve">Infection</w:t>
      </w:r>
      <w:bookmarkEnd w:id="22"/>
    </w:p>
    <w:tbl>
      <w:tblPr>
        <w:tblStyle w:val="Table"/>
        <w:tblW w:type="pct" w:w="5000.0"/>
        <w:tblLook w:firstRow="1"/>
      </w:tblPr>
      <w:tblGrid>
        <w:gridCol w:w="5456"/>
        <w:gridCol w:w="1584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Latent period (</w:t>
            </w:r>
            <m:oMath>
              <m:r>
                <m:t>α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o</m:t>
              </m:r>
              <m:r>
                <m:t>g</m:t>
              </m:r>
              <m:r>
                <m:t>n</m:t>
              </m:r>
              <m:r>
                <m:t>o</m:t>
              </m:r>
              <m:r>
                <m:t>r</m:t>
              </m:r>
              <m:r>
                <m:t>m</m:t>
              </m:r>
              <m:r>
                <m:t>a</m:t>
              </m:r>
              <m:r>
                <m:t>l</m:t>
              </m:r>
              <m:r>
                <m:t>(</m:t>
              </m:r>
              <m:r>
                <m:t>7</m:t>
              </m:r>
              <m:r>
                <m:t>,</m:t>
              </m:r>
              <m:r>
                <m:t>3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[@He2020]</w:t>
            </w:r>
            <m:oMath>
              <m:sSup>
                <m:e>
                  <m:r>
                    <m:t>​</m:t>
                  </m:r>
                </m:e>
                <m:sup>
                  <m:r>
                    <m:t>b</m:t>
                  </m:r>
                  <m:r>
                    <m:t>,</m:t>
                  </m:r>
                  <m:r>
                    <m:t>c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Asymptomatic (</w:t>
            </w:r>
            <m:oMath>
              <m:r>
                <m:t>f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[@Feaster2020]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 recovery time (</w:t>
            </w:r>
            <m:oMath>
              <m:sSub>
                <m:e>
                  <m:r>
                    <m:t>γ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d</m:t>
              </m:r>
              <m:r>
                <m:t>a</m:t>
              </m:r>
              <m:r>
                <m:t>y</m:t>
              </m:r>
              <m:r>
                <m:t>s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Proportion of Hospitalizations (</w:t>
            </w:r>
            <m:oMath>
              <m:sSub>
                <m:e>
                  <m:r>
                    <m:t>σ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0.23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Median number of days from symptom onset to hosp (</w:t>
            </w:r>
            <m:oMath>
              <m:sSub>
                <m:e>
                  <m:r>
                    <m:t>γ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(</m:t>
              </m:r>
              <m:r>
                <m:t>1</m:t>
              </m:r>
              <m:r>
                <m:t>,</m:t>
              </m:r>
              <m:r>
                <m:t>9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[@CDC2020]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number of days of hosp for ICU admission (</w:t>
            </w:r>
            <m:oMath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(</m:t>
              </m:r>
              <m:r>
                <m:t>3</m:t>
              </m:r>
              <m:r>
                <m:t>,</m:t>
              </m:r>
              <m:r>
                <m:t>10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[@CDC2020]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 number of days of hosp for non ICU admission (</w:t>
            </w:r>
            <m:oMath>
              <m:sSub>
                <m:e>
                  <m:r>
                    <m:t>γ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(</m:t>
              </m:r>
              <m:r>
                <m:t>6</m:t>
              </m:r>
              <m:r>
                <m:t>,</m:t>
              </m:r>
              <m:r>
                <m:t>20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[@CDC2020]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 of deaths on hospitalization (</w:t>
            </w:r>
            <m:oMath>
              <m:sSub>
                <m:e>
                  <m:r>
                    <m:t>σ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11.8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Shedding probability (</w:t>
            </w:r>
            <m:oMath>
              <m:sSub>
                <m:e>
                  <m:r>
                    <m:t>ψ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0.41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Infection probability (</w:t>
            </w:r>
            <m:oMath>
              <m:sSub>
                <m:e>
                  <m:r>
                    <m:t>ψ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0.41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Introduction probability (</w:t>
            </w:r>
            <m:oMath>
              <m:r>
                <m:t>ω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p/>
        </w:tc>
      </w:tr>
    </w:tbl>
    <w:p>
      <w:pPr>
        <w:pStyle w:val="Heading2"/>
      </w:pPr>
      <w:bookmarkStart w:id="23" w:name="interventions"/>
      <w:r>
        <w:t xml:space="preserve">Interventions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staff using PPE(</w:t>
            </w:r>
            <m:oMath>
              <m:r>
                <m:t>P</m:t>
              </m:r>
              <m:r>
                <m:t>P</m:t>
              </m:r>
              <m:sSub>
                <m:e>
                  <m:r>
                    <m:t>E</m:t>
                  </m:r>
                </m:e>
                <m:sub>
                  <m:r>
                    <m:t>S</m:t>
                  </m:r>
                </m:sub>
              </m:sSub>
              <m:r>
                <m:t>%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residents using PPE(</w:t>
            </w:r>
            <m:oMath>
              <m:r>
                <m:t>P</m:t>
              </m:r>
              <m:r>
                <m:t>P</m:t>
              </m:r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  <m:r>
                <m:t>%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PPE Effect (</w:t>
            </w:r>
            <m:oMath>
              <m:r>
                <m:t>O</m:t>
              </m:r>
              <m:sSub>
                <m:e>
                  <m:r>
                    <m:t>R</m:t>
                  </m:r>
                </m:e>
                <m:sub>
                  <m:r>
                    <m:t>π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0.1467</w:t>
            </w:r>
          </w:p>
        </w:tc>
        <w:tc>
          <w:p>
            <w:pPr>
              <w:pStyle w:val="Compact"/>
              <w:jc w:val="left"/>
            </w:pPr>
            <w:r>
              <w:t xml:space="preserve">[@Chu2020]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Test detection probability(</w:t>
            </w:r>
            <m:oMath>
              <m:r>
                <m:t>ϕ</m:t>
              </m:r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%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Staff tested</w:t>
            </w:r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%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Proportion of Residents tested</w:t>
            </w:r>
          </w:p>
        </w:tc>
        <w:tc>
          <w:p>
            <w:pPr>
              <w:pStyle w:val="Compact"/>
              <w:jc w:val="left"/>
            </w:pPr>
            <m:oMath>
              <m:r>
                <m:t>33.3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Frequency of testing</w:t>
            </w:r>
          </w:p>
        </w:tc>
        <w:tc>
          <w:p>
            <w:pPr>
              <w:pStyle w:val="Compact"/>
              <w:jc w:val="left"/>
            </w:pPr>
            <w:r>
              <w:t xml:space="preserve">Weekly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Vaccine effect (</w:t>
            </w:r>
            <m:oMath>
              <m:r>
                <m:t>O</m:t>
              </m:r>
              <m:sSub>
                <m:e>
                  <m:r>
                    <m:t>R</m:t>
                  </m:r>
                </m:e>
                <m:sub>
                  <m:r>
                    <m:t>υ</m:t>
                  </m:r>
                </m:sub>
              </m:sSub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0.0493</w:t>
            </w:r>
          </w:p>
        </w:tc>
        <w:tc>
          <w:p>
            <w:pPr>
              <w:pStyle w:val="Compact"/>
              <w:jc w:val="left"/>
            </w:pPr>
            <w:r>
              <w:t xml:space="preserve">[@Baden2020]</w:t>
            </w: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Vaccine immunity duration</w:t>
            </w:r>
          </w:p>
        </w:tc>
        <w:tc>
          <w:p>
            <w:pPr>
              <w:pStyle w:val="Compact"/>
              <w:jc w:val="left"/>
            </w:pPr>
            <m:oMath>
              <m:r>
                <m:t>120</m:t>
              </m:r>
              <m:r>
                <m:t> </m:t>
              </m:r>
              <m:r>
                <m:t>d</m:t>
              </m:r>
              <m:r>
                <m:t>a</m:t>
              </m:r>
              <m:r>
                <m:t>y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​</m:t>
                  </m:r>
                </m:e>
                <m:sup>
                  <m:r>
                    <m:t>a</m:t>
                  </m:r>
                </m:sup>
              </m:sSup>
            </m:oMath>
          </w:p>
        </w:tc>
      </w:tr>
    </w:tbl>
    <w:p>
      <w:pPr>
        <w:pStyle w:val="Heading2"/>
      </w:pPr>
      <w:bookmarkStart w:id="24" w:name="sensitivity-analysis"/>
      <w:r>
        <w:t xml:space="preserve">Sensitivity analysis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Target 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 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transmission</w:t>
            </w:r>
          </w:p>
        </w:tc>
        <w:tc>
          <w:p>
            <w:pPr>
              <w:pStyle w:val="Compact"/>
              <w:jc w:val="left"/>
            </w:pPr>
            <w:r>
              <w:t xml:space="preserve">Shedding and infection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transmission</w:t>
            </w:r>
          </w:p>
        </w:tc>
        <w:tc>
          <w:p>
            <w:pPr>
              <w:pStyle w:val="Compact"/>
              <w:jc w:val="left"/>
            </w:pPr>
            <w:r>
              <w:t xml:space="preserve">Shedding and infection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Introduction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Detection 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effect PPE</w:t>
            </w:r>
          </w:p>
        </w:tc>
        <w:tc>
          <w:p>
            <w:pPr>
              <w:pStyle w:val="Compact"/>
              <w:jc w:val="left"/>
            </w:pPr>
            <w:r>
              <w:t xml:space="preserve">PPE effect</w:t>
            </w:r>
          </w:p>
        </w:tc>
        <w:tc>
          <w:p>
            <w:pPr>
              <w:pStyle w:val="Compact"/>
              <w:jc w:val="left"/>
            </w:pPr>
            <w:r>
              <w:t xml:space="preserve">0.0722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effect PPE</w:t>
            </w:r>
          </w:p>
        </w:tc>
        <w:tc>
          <w:p>
            <w:pPr>
              <w:pStyle w:val="Compact"/>
              <w:jc w:val="left"/>
            </w:pPr>
            <w:r>
              <w:t xml:space="preserve">PPE effect</w:t>
            </w:r>
          </w:p>
        </w:tc>
        <w:tc>
          <w:p>
            <w:pPr>
              <w:pStyle w:val="Compact"/>
              <w:jc w:val="left"/>
            </w:pPr>
            <w:r>
              <w:t xml:space="preserve">0.3408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5 days</w:t>
            </w:r>
          </w:p>
        </w:tc>
        <w:tc>
          <w:p>
            <w:pPr>
              <w:pStyle w:val="Compact"/>
              <w:jc w:val="left"/>
            </w:pPr>
            <w:r>
              <w:t xml:space="preserve">Testing frequency</w:t>
            </w:r>
          </w:p>
        </w:tc>
        <w:tc>
          <w:p>
            <w:pPr>
              <w:pStyle w:val="Compact"/>
              <w:jc w:val="left"/>
            </w:pPr>
            <w:r>
              <w:t xml:space="preserve">every 5 days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3 days</w:t>
            </w:r>
          </w:p>
        </w:tc>
        <w:tc>
          <w:p>
            <w:pPr>
              <w:pStyle w:val="Compact"/>
              <w:jc w:val="left"/>
            </w:pPr>
            <w:r>
              <w:t xml:space="preserve">Testing frequency</w:t>
            </w:r>
          </w:p>
        </w:tc>
        <w:tc>
          <w:p>
            <w:pPr>
              <w:pStyle w:val="Compact"/>
              <w:jc w:val="left"/>
            </w:pPr>
            <w:r>
              <w:t xml:space="preserve">every 3 days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2021-02-15T20:52:51Z</dcterms:created>
  <dcterms:modified xsi:type="dcterms:W3CDTF">2021-02-15T20:52:51Z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