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80193" w14:textId="77777777" w:rsidR="00BE783E" w:rsidRDefault="00000000">
      <w:pPr>
        <w:jc w:val="center"/>
        <w:rPr>
          <w:b/>
        </w:rPr>
      </w:pPr>
      <w:r>
        <w:rPr>
          <w:b/>
        </w:rPr>
        <w:t>Affiliated Hospital of Yan'an University</w:t>
      </w:r>
    </w:p>
    <w:p w14:paraId="0611407E" w14:textId="77777777" w:rsidR="00BE783E" w:rsidRDefault="00000000">
      <w:pPr>
        <w:jc w:val="center"/>
        <w:rPr>
          <w:b/>
        </w:rPr>
      </w:pPr>
      <w:r>
        <w:rPr>
          <w:b/>
        </w:rPr>
        <w:t xml:space="preserve">Discharge </w:t>
      </w:r>
      <w:r>
        <w:rPr>
          <w:rFonts w:hint="eastAsia"/>
          <w:b/>
        </w:rPr>
        <w:t>R</w:t>
      </w:r>
      <w:r>
        <w:rPr>
          <w:b/>
        </w:rPr>
        <w:t>ecords</w:t>
      </w:r>
    </w:p>
    <w:tbl>
      <w:tblPr>
        <w:tblStyle w:val="TableGrid"/>
        <w:tblW w:w="10491" w:type="dxa"/>
        <w:tblInd w:w="-318" w:type="dxa"/>
        <w:tblLook w:val="04A0" w:firstRow="1" w:lastRow="0" w:firstColumn="1" w:lastColumn="0" w:noHBand="0" w:noVBand="1"/>
      </w:tblPr>
      <w:tblGrid>
        <w:gridCol w:w="1844"/>
        <w:gridCol w:w="1276"/>
        <w:gridCol w:w="850"/>
        <w:gridCol w:w="1275"/>
        <w:gridCol w:w="1277"/>
        <w:gridCol w:w="1134"/>
        <w:gridCol w:w="2835"/>
      </w:tblGrid>
      <w:tr w:rsidR="00BE783E" w14:paraId="0465C531" w14:textId="77777777">
        <w:tc>
          <w:tcPr>
            <w:tcW w:w="1844" w:type="dxa"/>
            <w:tcBorders>
              <w:top w:val="nil"/>
              <w:left w:val="nil"/>
              <w:bottom w:val="single" w:sz="4" w:space="0" w:color="auto"/>
              <w:right w:val="nil"/>
            </w:tcBorders>
          </w:tcPr>
          <w:p w14:paraId="5EE3DE50" w14:textId="53C9715C" w:rsidR="00BE783E" w:rsidRDefault="00000000">
            <w:pPr>
              <w:rPr>
                <w:sz w:val="18"/>
                <w:szCs w:val="18"/>
              </w:rPr>
            </w:pPr>
            <w:r>
              <w:rPr>
                <w:sz w:val="18"/>
                <w:szCs w:val="18"/>
              </w:rPr>
              <w:t xml:space="preserve">Name: </w:t>
            </w:r>
            <w:r w:rsidR="00EA12A4">
              <w:rPr>
                <w:sz w:val="18"/>
                <w:szCs w:val="18"/>
              </w:rPr>
              <w:t>Patient3</w:t>
            </w:r>
          </w:p>
        </w:tc>
        <w:tc>
          <w:tcPr>
            <w:tcW w:w="1276" w:type="dxa"/>
            <w:tcBorders>
              <w:top w:val="nil"/>
              <w:left w:val="nil"/>
              <w:bottom w:val="single" w:sz="4" w:space="0" w:color="auto"/>
              <w:right w:val="nil"/>
            </w:tcBorders>
          </w:tcPr>
          <w:p w14:paraId="66D49A45" w14:textId="77777777" w:rsidR="00BE783E" w:rsidRDefault="00000000">
            <w:pPr>
              <w:rPr>
                <w:sz w:val="18"/>
                <w:szCs w:val="18"/>
              </w:rPr>
            </w:pPr>
            <w:r>
              <w:rPr>
                <w:sz w:val="18"/>
                <w:szCs w:val="18"/>
              </w:rPr>
              <w:t>Gender</w:t>
            </w:r>
            <w:r>
              <w:rPr>
                <w:rFonts w:hint="eastAsia"/>
                <w:sz w:val="18"/>
                <w:szCs w:val="18"/>
              </w:rPr>
              <w:t>: M</w:t>
            </w:r>
            <w:r>
              <w:rPr>
                <w:sz w:val="18"/>
                <w:szCs w:val="18"/>
              </w:rPr>
              <w:t>ale</w:t>
            </w:r>
          </w:p>
        </w:tc>
        <w:tc>
          <w:tcPr>
            <w:tcW w:w="850" w:type="dxa"/>
            <w:tcBorders>
              <w:top w:val="nil"/>
              <w:left w:val="nil"/>
              <w:bottom w:val="single" w:sz="4" w:space="0" w:color="auto"/>
              <w:right w:val="nil"/>
            </w:tcBorders>
          </w:tcPr>
          <w:p w14:paraId="052F48E6" w14:textId="77777777" w:rsidR="00BE783E" w:rsidRDefault="00000000">
            <w:pPr>
              <w:rPr>
                <w:sz w:val="18"/>
                <w:szCs w:val="18"/>
              </w:rPr>
            </w:pPr>
            <w:r>
              <w:rPr>
                <w:sz w:val="18"/>
                <w:szCs w:val="18"/>
              </w:rPr>
              <w:t xml:space="preserve">Age: </w:t>
            </w:r>
            <w:r>
              <w:rPr>
                <w:rFonts w:hint="eastAsia"/>
                <w:sz w:val="18"/>
                <w:szCs w:val="18"/>
              </w:rPr>
              <w:t>51</w:t>
            </w:r>
          </w:p>
        </w:tc>
        <w:tc>
          <w:tcPr>
            <w:tcW w:w="2552" w:type="dxa"/>
            <w:gridSpan w:val="2"/>
            <w:tcBorders>
              <w:top w:val="nil"/>
              <w:left w:val="nil"/>
              <w:bottom w:val="single" w:sz="4" w:space="0" w:color="auto"/>
              <w:right w:val="nil"/>
            </w:tcBorders>
          </w:tcPr>
          <w:p w14:paraId="020C4E64" w14:textId="77777777" w:rsidR="00BE783E" w:rsidRDefault="00000000">
            <w:pPr>
              <w:rPr>
                <w:sz w:val="18"/>
                <w:szCs w:val="18"/>
              </w:rPr>
            </w:pPr>
            <w:r>
              <w:rPr>
                <w:sz w:val="18"/>
                <w:szCs w:val="18"/>
              </w:rPr>
              <w:t>Department: Neurology Ward 2</w:t>
            </w:r>
          </w:p>
        </w:tc>
        <w:tc>
          <w:tcPr>
            <w:tcW w:w="1134" w:type="dxa"/>
            <w:tcBorders>
              <w:top w:val="nil"/>
              <w:left w:val="nil"/>
              <w:bottom w:val="single" w:sz="4" w:space="0" w:color="auto"/>
              <w:right w:val="nil"/>
            </w:tcBorders>
          </w:tcPr>
          <w:p w14:paraId="2D27F399" w14:textId="77777777" w:rsidR="00BE783E" w:rsidRDefault="00000000">
            <w:pPr>
              <w:rPr>
                <w:sz w:val="18"/>
                <w:szCs w:val="18"/>
              </w:rPr>
            </w:pPr>
            <w:r>
              <w:rPr>
                <w:sz w:val="18"/>
                <w:szCs w:val="18"/>
              </w:rPr>
              <w:t xml:space="preserve">Bed No.: </w:t>
            </w:r>
            <w:r>
              <w:rPr>
                <w:rFonts w:hint="eastAsia"/>
                <w:sz w:val="18"/>
                <w:szCs w:val="18"/>
              </w:rPr>
              <w:t>22</w:t>
            </w:r>
          </w:p>
        </w:tc>
        <w:tc>
          <w:tcPr>
            <w:tcW w:w="2835" w:type="dxa"/>
            <w:tcBorders>
              <w:top w:val="nil"/>
              <w:left w:val="nil"/>
              <w:bottom w:val="single" w:sz="4" w:space="0" w:color="auto"/>
              <w:right w:val="nil"/>
            </w:tcBorders>
          </w:tcPr>
          <w:p w14:paraId="70B900EF" w14:textId="77777777" w:rsidR="00BE783E" w:rsidRDefault="00000000">
            <w:pPr>
              <w:rPr>
                <w:sz w:val="18"/>
                <w:szCs w:val="18"/>
              </w:rPr>
            </w:pPr>
            <w:r>
              <w:rPr>
                <w:sz w:val="18"/>
                <w:szCs w:val="18"/>
              </w:rPr>
              <w:t>Medical Record No.: 0002444695</w:t>
            </w:r>
          </w:p>
        </w:tc>
      </w:tr>
      <w:tr w:rsidR="00BE783E" w14:paraId="7969B296" w14:textId="77777777">
        <w:tc>
          <w:tcPr>
            <w:tcW w:w="5245" w:type="dxa"/>
            <w:gridSpan w:val="4"/>
            <w:tcBorders>
              <w:left w:val="nil"/>
              <w:bottom w:val="nil"/>
              <w:right w:val="nil"/>
            </w:tcBorders>
          </w:tcPr>
          <w:p w14:paraId="4F4A9FB9" w14:textId="2C0C8FC0" w:rsidR="00BE783E" w:rsidRDefault="00000000">
            <w:pPr>
              <w:rPr>
                <w:sz w:val="18"/>
                <w:szCs w:val="18"/>
              </w:rPr>
            </w:pPr>
            <w:r>
              <w:rPr>
                <w:sz w:val="18"/>
                <w:szCs w:val="18"/>
              </w:rPr>
              <w:t xml:space="preserve">Name: </w:t>
            </w:r>
            <w:r w:rsidR="00EA12A4">
              <w:rPr>
                <w:sz w:val="18"/>
                <w:szCs w:val="18"/>
              </w:rPr>
              <w:t>Patient3</w:t>
            </w:r>
          </w:p>
        </w:tc>
        <w:tc>
          <w:tcPr>
            <w:tcW w:w="5246" w:type="dxa"/>
            <w:gridSpan w:val="3"/>
            <w:tcBorders>
              <w:left w:val="nil"/>
              <w:bottom w:val="nil"/>
              <w:right w:val="nil"/>
            </w:tcBorders>
          </w:tcPr>
          <w:p w14:paraId="7CDE5B83" w14:textId="77777777" w:rsidR="00BE783E" w:rsidRDefault="00000000">
            <w:pPr>
              <w:rPr>
                <w:sz w:val="18"/>
                <w:szCs w:val="18"/>
              </w:rPr>
            </w:pPr>
            <w:r>
              <w:rPr>
                <w:sz w:val="18"/>
                <w:szCs w:val="18"/>
              </w:rPr>
              <w:t>Gender: Male</w:t>
            </w:r>
          </w:p>
        </w:tc>
      </w:tr>
      <w:tr w:rsidR="00BE783E" w14:paraId="401E1631" w14:textId="77777777">
        <w:tc>
          <w:tcPr>
            <w:tcW w:w="5245" w:type="dxa"/>
            <w:gridSpan w:val="4"/>
            <w:tcBorders>
              <w:top w:val="nil"/>
              <w:left w:val="nil"/>
              <w:bottom w:val="nil"/>
              <w:right w:val="nil"/>
            </w:tcBorders>
          </w:tcPr>
          <w:p w14:paraId="66F52A63" w14:textId="77777777" w:rsidR="00BE783E" w:rsidRDefault="00000000">
            <w:pPr>
              <w:rPr>
                <w:sz w:val="18"/>
                <w:szCs w:val="18"/>
              </w:rPr>
            </w:pPr>
            <w:r>
              <w:rPr>
                <w:sz w:val="18"/>
                <w:szCs w:val="18"/>
              </w:rPr>
              <w:t xml:space="preserve">Age: </w:t>
            </w:r>
            <w:r>
              <w:rPr>
                <w:rFonts w:hint="eastAsia"/>
                <w:sz w:val="18"/>
                <w:szCs w:val="18"/>
              </w:rPr>
              <w:t>51</w:t>
            </w:r>
          </w:p>
        </w:tc>
        <w:tc>
          <w:tcPr>
            <w:tcW w:w="5246" w:type="dxa"/>
            <w:gridSpan w:val="3"/>
            <w:tcBorders>
              <w:top w:val="nil"/>
              <w:left w:val="nil"/>
              <w:bottom w:val="nil"/>
              <w:right w:val="nil"/>
            </w:tcBorders>
          </w:tcPr>
          <w:p w14:paraId="66680894" w14:textId="77777777" w:rsidR="00BE783E" w:rsidRDefault="00000000">
            <w:pPr>
              <w:rPr>
                <w:sz w:val="18"/>
                <w:szCs w:val="18"/>
              </w:rPr>
            </w:pPr>
            <w:r>
              <w:rPr>
                <w:sz w:val="18"/>
                <w:szCs w:val="18"/>
              </w:rPr>
              <w:t>Hospitalization No.: 0002444695</w:t>
            </w:r>
          </w:p>
        </w:tc>
      </w:tr>
      <w:tr w:rsidR="00BE783E" w14:paraId="5D3A5A0D" w14:textId="77777777">
        <w:tc>
          <w:tcPr>
            <w:tcW w:w="5245" w:type="dxa"/>
            <w:gridSpan w:val="4"/>
            <w:tcBorders>
              <w:top w:val="nil"/>
              <w:left w:val="nil"/>
              <w:bottom w:val="nil"/>
              <w:right w:val="nil"/>
            </w:tcBorders>
          </w:tcPr>
          <w:p w14:paraId="5D463C60" w14:textId="77777777" w:rsidR="00BE783E" w:rsidRDefault="00000000">
            <w:pPr>
              <w:rPr>
                <w:sz w:val="18"/>
                <w:szCs w:val="18"/>
              </w:rPr>
            </w:pPr>
            <w:r>
              <w:rPr>
                <w:sz w:val="18"/>
                <w:szCs w:val="18"/>
              </w:rPr>
              <w:t>ID No.: 36210119720519103X</w:t>
            </w:r>
          </w:p>
        </w:tc>
        <w:tc>
          <w:tcPr>
            <w:tcW w:w="5246" w:type="dxa"/>
            <w:gridSpan w:val="3"/>
            <w:tcBorders>
              <w:top w:val="nil"/>
              <w:left w:val="nil"/>
              <w:bottom w:val="nil"/>
              <w:right w:val="nil"/>
            </w:tcBorders>
          </w:tcPr>
          <w:p w14:paraId="6A872243" w14:textId="77777777" w:rsidR="00BE783E" w:rsidRDefault="00000000">
            <w:pPr>
              <w:rPr>
                <w:sz w:val="18"/>
                <w:szCs w:val="18"/>
              </w:rPr>
            </w:pPr>
            <w:r>
              <w:rPr>
                <w:sz w:val="18"/>
                <w:szCs w:val="18"/>
              </w:rPr>
              <w:t>Ward Name: Neurology Ward II</w:t>
            </w:r>
          </w:p>
        </w:tc>
      </w:tr>
      <w:tr w:rsidR="00BE783E" w14:paraId="5BB2EDED" w14:textId="77777777">
        <w:tc>
          <w:tcPr>
            <w:tcW w:w="5245" w:type="dxa"/>
            <w:gridSpan w:val="4"/>
            <w:tcBorders>
              <w:top w:val="nil"/>
              <w:left w:val="nil"/>
              <w:bottom w:val="nil"/>
              <w:right w:val="nil"/>
            </w:tcBorders>
          </w:tcPr>
          <w:p w14:paraId="229D8C47" w14:textId="77777777" w:rsidR="00BE783E" w:rsidRDefault="00000000">
            <w:pPr>
              <w:rPr>
                <w:sz w:val="18"/>
                <w:szCs w:val="18"/>
              </w:rPr>
            </w:pPr>
            <w:r>
              <w:rPr>
                <w:sz w:val="18"/>
                <w:szCs w:val="18"/>
              </w:rPr>
              <w:t xml:space="preserve">Date of </w:t>
            </w:r>
            <w:r>
              <w:rPr>
                <w:rFonts w:hint="eastAsia"/>
                <w:sz w:val="18"/>
                <w:szCs w:val="18"/>
              </w:rPr>
              <w:t>A</w:t>
            </w:r>
            <w:r>
              <w:rPr>
                <w:sz w:val="18"/>
                <w:szCs w:val="18"/>
              </w:rPr>
              <w:t>dmission: 2023-11-20 11:46</w:t>
            </w:r>
          </w:p>
        </w:tc>
        <w:tc>
          <w:tcPr>
            <w:tcW w:w="5246" w:type="dxa"/>
            <w:gridSpan w:val="3"/>
            <w:tcBorders>
              <w:top w:val="nil"/>
              <w:left w:val="nil"/>
              <w:bottom w:val="nil"/>
              <w:right w:val="nil"/>
            </w:tcBorders>
          </w:tcPr>
          <w:p w14:paraId="111B3452" w14:textId="77777777" w:rsidR="00BE783E" w:rsidRDefault="00000000">
            <w:pPr>
              <w:rPr>
                <w:sz w:val="18"/>
                <w:szCs w:val="18"/>
              </w:rPr>
            </w:pPr>
            <w:r>
              <w:rPr>
                <w:sz w:val="18"/>
                <w:szCs w:val="18"/>
              </w:rPr>
              <w:t xml:space="preserve">Date of </w:t>
            </w:r>
            <w:r>
              <w:rPr>
                <w:rFonts w:hint="eastAsia"/>
                <w:sz w:val="18"/>
                <w:szCs w:val="18"/>
              </w:rPr>
              <w:t>D</w:t>
            </w:r>
            <w:r>
              <w:rPr>
                <w:sz w:val="18"/>
                <w:szCs w:val="18"/>
              </w:rPr>
              <w:t>ischarge: 2023-11-27 09:00</w:t>
            </w:r>
          </w:p>
        </w:tc>
      </w:tr>
      <w:tr w:rsidR="00BE783E" w14:paraId="33BB863B" w14:textId="77777777">
        <w:tc>
          <w:tcPr>
            <w:tcW w:w="10491" w:type="dxa"/>
            <w:gridSpan w:val="7"/>
            <w:tcBorders>
              <w:top w:val="nil"/>
              <w:left w:val="nil"/>
              <w:bottom w:val="nil"/>
              <w:right w:val="nil"/>
            </w:tcBorders>
          </w:tcPr>
          <w:p w14:paraId="7A5E8984" w14:textId="77777777" w:rsidR="00BE783E" w:rsidRDefault="00000000">
            <w:pPr>
              <w:rPr>
                <w:sz w:val="18"/>
                <w:szCs w:val="18"/>
              </w:rPr>
            </w:pPr>
            <w:r>
              <w:rPr>
                <w:sz w:val="18"/>
                <w:szCs w:val="18"/>
              </w:rPr>
              <w:t>Admission C</w:t>
            </w:r>
            <w:r>
              <w:rPr>
                <w:rFonts w:hint="eastAsia"/>
                <w:sz w:val="18"/>
                <w:szCs w:val="18"/>
              </w:rPr>
              <w:t>o</w:t>
            </w:r>
            <w:r>
              <w:rPr>
                <w:sz w:val="18"/>
                <w:szCs w:val="18"/>
              </w:rPr>
              <w:t>ndition: 1 day ago, the patient had no obvious reasons and incentives for speech disadvantage, numbness of the left upper limb, feeling tongue, unclear articulation, feeling weakness of the left limb, no limb pain, no obvious dizziness, headache and discomfort, no nausea, Vomiting, no palpitation, chest tightness and shortness of breath discomfort, no transient black punch in both eyes, ignoring object rotation, ignoring object blurring, no tinnitus and hearing loss, unconsciousness and orientation disorder, no drinking water, coughing and dysphagia, no limb convulsions and inappropriate breathing, self-control of urine and defecation. In the emergency department of our hospital, the brain DWI showed: small patches of DWI high signal shadow, ADC signal decreased, acute cerebral infarction in the pontine. Now for further diagnosis and treatment, he came to our hospital, and the outpatient department was admitted to the hospital with "acute cerebral infarction". Since the onset of the disease, the patient has no chest tightness, chest pain, chills, or fever. The general condition is acceptable, the intake is acceptable, the night rest is acceptable, and the urination and defecation are as usual.</w:t>
            </w:r>
          </w:p>
          <w:p w14:paraId="17CE86CA" w14:textId="77777777" w:rsidR="00BE783E" w:rsidRDefault="00000000">
            <w:pPr>
              <w:ind w:left="900" w:hangingChars="500" w:hanging="900"/>
              <w:rPr>
                <w:sz w:val="18"/>
                <w:szCs w:val="18"/>
              </w:rPr>
            </w:pPr>
            <w:r>
              <w:rPr>
                <w:sz w:val="18"/>
                <w:szCs w:val="18"/>
              </w:rPr>
              <w:t>Admission Diagnosis: 1. Acute brainstem infarction</w:t>
            </w:r>
            <w:r>
              <w:rPr>
                <w:rFonts w:hint="eastAsia"/>
                <w:sz w:val="18"/>
                <w:szCs w:val="18"/>
              </w:rPr>
              <w:t>;</w:t>
            </w:r>
            <w:r>
              <w:rPr>
                <w:sz w:val="18"/>
                <w:szCs w:val="18"/>
              </w:rPr>
              <w:t xml:space="preserve"> 2. Bilateral internal carotid atherosclerosis</w:t>
            </w:r>
            <w:r>
              <w:rPr>
                <w:rFonts w:hint="eastAsia"/>
                <w:sz w:val="18"/>
                <w:szCs w:val="18"/>
              </w:rPr>
              <w:t>;</w:t>
            </w:r>
            <w:r>
              <w:rPr>
                <w:sz w:val="18"/>
                <w:szCs w:val="18"/>
              </w:rPr>
              <w:t xml:space="preserve"> 3. Hypertriglyceridemia</w:t>
            </w:r>
            <w:r>
              <w:rPr>
                <w:rFonts w:hint="eastAsia"/>
                <w:sz w:val="18"/>
                <w:szCs w:val="18"/>
              </w:rPr>
              <w:t>;</w:t>
            </w:r>
            <w:r>
              <w:rPr>
                <w:sz w:val="18"/>
                <w:szCs w:val="18"/>
              </w:rPr>
              <w:t xml:space="preserve"> 4. Emphysema with bullae in both lungs</w:t>
            </w:r>
            <w:r>
              <w:rPr>
                <w:rFonts w:hint="eastAsia"/>
                <w:sz w:val="18"/>
                <w:szCs w:val="18"/>
              </w:rPr>
              <w:t xml:space="preserve">; </w:t>
            </w:r>
            <w:r>
              <w:rPr>
                <w:sz w:val="18"/>
                <w:szCs w:val="18"/>
              </w:rPr>
              <w:t>5. Fatty liver</w:t>
            </w:r>
            <w:r>
              <w:rPr>
                <w:rFonts w:hint="eastAsia"/>
                <w:sz w:val="18"/>
                <w:szCs w:val="18"/>
              </w:rPr>
              <w:t>;</w:t>
            </w:r>
            <w:r>
              <w:rPr>
                <w:sz w:val="18"/>
                <w:szCs w:val="18"/>
              </w:rPr>
              <w:t xml:space="preserve"> 6. Chronic viral hepatitis B</w:t>
            </w:r>
            <w:r>
              <w:rPr>
                <w:rFonts w:hint="eastAsia"/>
                <w:sz w:val="18"/>
                <w:szCs w:val="18"/>
              </w:rPr>
              <w:t>.</w:t>
            </w:r>
          </w:p>
          <w:p w14:paraId="6915B458" w14:textId="77777777" w:rsidR="00BE783E" w:rsidRDefault="00000000">
            <w:pPr>
              <w:rPr>
                <w:sz w:val="18"/>
                <w:szCs w:val="18"/>
              </w:rPr>
            </w:pPr>
            <w:r>
              <w:rPr>
                <w:sz w:val="18"/>
                <w:szCs w:val="18"/>
              </w:rPr>
              <w:t xml:space="preserve">Positive </w:t>
            </w:r>
            <w:r>
              <w:rPr>
                <w:rFonts w:hint="eastAsia"/>
                <w:sz w:val="18"/>
                <w:szCs w:val="18"/>
              </w:rPr>
              <w:t>A</w:t>
            </w:r>
            <w:r>
              <w:rPr>
                <w:sz w:val="18"/>
                <w:szCs w:val="18"/>
              </w:rPr>
              <w:t xml:space="preserve">uxiliary </w:t>
            </w:r>
            <w:r>
              <w:rPr>
                <w:rFonts w:hint="eastAsia"/>
                <w:sz w:val="18"/>
                <w:szCs w:val="18"/>
              </w:rPr>
              <w:t>E</w:t>
            </w:r>
            <w:r>
              <w:rPr>
                <w:sz w:val="18"/>
                <w:szCs w:val="18"/>
              </w:rPr>
              <w:t xml:space="preserve">xamination </w:t>
            </w:r>
            <w:r>
              <w:rPr>
                <w:rFonts w:hint="eastAsia"/>
                <w:sz w:val="18"/>
                <w:szCs w:val="18"/>
              </w:rPr>
              <w:t>R</w:t>
            </w:r>
            <w:r>
              <w:rPr>
                <w:sz w:val="18"/>
                <w:szCs w:val="18"/>
              </w:rPr>
              <w:t>esults: fecal routine: occult blood positive; Complete set of blood lipids detection: serum triglyceride determination: 2.91 mmol/L ↑, low-density lipoprotein cholesterol determination: 3.02 mmol/1 ↑, apolipoprotein AI: 0.92 g/L ↓, serum total bile acid determination: 11.9 umol/L ↑, serum γ-glutamyltransferase determination: 89 U/L ↑, blood seeding four items: hepatitis B surface antigen volume: 19.33 (positive reaction) IU/ml: cranial MRA (3.0 T): A1 segment of right anterior cerebral artery is absent. MRA of the remaining brain showed no significant abnormalities. Chest CT plain scan: 1. Emphysema in both lungs with bullae formation. 2. Fatty liver. Color Doppler ultrasound of cervical vessels: plaque formation at the bifurcation of bilateral internal and external carotid arteries. Craniocerebral DWI: cerebral infarction in the acute phase of the pontine.</w:t>
            </w:r>
          </w:p>
          <w:p w14:paraId="00B48052" w14:textId="77777777" w:rsidR="00BE783E" w:rsidRDefault="00000000">
            <w:pPr>
              <w:rPr>
                <w:sz w:val="18"/>
                <w:szCs w:val="18"/>
              </w:rPr>
            </w:pPr>
            <w:r>
              <w:rPr>
                <w:sz w:val="18"/>
                <w:szCs w:val="18"/>
              </w:rPr>
              <w:t xml:space="preserve">Examination and </w:t>
            </w:r>
            <w:r>
              <w:rPr>
                <w:rFonts w:hint="eastAsia"/>
                <w:sz w:val="18"/>
                <w:szCs w:val="18"/>
              </w:rPr>
              <w:t>T</w:t>
            </w:r>
            <w:r>
              <w:rPr>
                <w:sz w:val="18"/>
                <w:szCs w:val="18"/>
              </w:rPr>
              <w:t xml:space="preserve">reatment after </w:t>
            </w:r>
            <w:r>
              <w:rPr>
                <w:rFonts w:hint="eastAsia"/>
                <w:sz w:val="18"/>
                <w:szCs w:val="18"/>
              </w:rPr>
              <w:t>A</w:t>
            </w:r>
            <w:r>
              <w:rPr>
                <w:sz w:val="18"/>
                <w:szCs w:val="18"/>
              </w:rPr>
              <w:t>dmission: Improve the relevant examination after admission, and give left limb electronic biofeedback therapy, nutrition of brain cells, improvement of cerebral circulation and other treatments.</w:t>
            </w:r>
          </w:p>
          <w:p w14:paraId="27AB6FEE" w14:textId="77777777" w:rsidR="00BE783E" w:rsidRDefault="00000000">
            <w:pPr>
              <w:ind w:left="900" w:hangingChars="500" w:hanging="900"/>
              <w:rPr>
                <w:sz w:val="18"/>
                <w:szCs w:val="18"/>
              </w:rPr>
            </w:pPr>
            <w:r>
              <w:rPr>
                <w:sz w:val="18"/>
                <w:szCs w:val="18"/>
              </w:rPr>
              <w:t xml:space="preserve">Discharge </w:t>
            </w:r>
            <w:r>
              <w:rPr>
                <w:rFonts w:hint="eastAsia"/>
                <w:sz w:val="18"/>
                <w:szCs w:val="18"/>
              </w:rPr>
              <w:t>D</w:t>
            </w:r>
            <w:r>
              <w:rPr>
                <w:sz w:val="18"/>
                <w:szCs w:val="18"/>
              </w:rPr>
              <w:t>iagnosis: 1. Acute brainstem infarction</w:t>
            </w:r>
            <w:r>
              <w:rPr>
                <w:rFonts w:hint="eastAsia"/>
                <w:sz w:val="18"/>
                <w:szCs w:val="18"/>
              </w:rPr>
              <w:t>;</w:t>
            </w:r>
            <w:r>
              <w:rPr>
                <w:sz w:val="18"/>
                <w:szCs w:val="18"/>
              </w:rPr>
              <w:t xml:space="preserve"> 2. Bilateral internal carotid atherosclerosis</w:t>
            </w:r>
            <w:r>
              <w:rPr>
                <w:rFonts w:hint="eastAsia"/>
                <w:sz w:val="18"/>
                <w:szCs w:val="18"/>
              </w:rPr>
              <w:t>;</w:t>
            </w:r>
            <w:r>
              <w:rPr>
                <w:sz w:val="18"/>
                <w:szCs w:val="18"/>
              </w:rPr>
              <w:t xml:space="preserve"> 3. Hypertriglyceridemia</w:t>
            </w:r>
            <w:r>
              <w:rPr>
                <w:rFonts w:hint="eastAsia"/>
                <w:sz w:val="18"/>
                <w:szCs w:val="18"/>
              </w:rPr>
              <w:t>;</w:t>
            </w:r>
            <w:r>
              <w:rPr>
                <w:sz w:val="18"/>
                <w:szCs w:val="18"/>
              </w:rPr>
              <w:t xml:space="preserve"> 4. Emphysema with bullae in both lungs</w:t>
            </w:r>
            <w:r>
              <w:rPr>
                <w:rFonts w:hint="eastAsia"/>
                <w:sz w:val="18"/>
                <w:szCs w:val="18"/>
              </w:rPr>
              <w:t>;</w:t>
            </w:r>
            <w:r>
              <w:rPr>
                <w:sz w:val="18"/>
                <w:szCs w:val="18"/>
              </w:rPr>
              <w:t xml:space="preserve"> 5. Fatty liver</w:t>
            </w:r>
            <w:r>
              <w:rPr>
                <w:rFonts w:hint="eastAsia"/>
                <w:sz w:val="18"/>
                <w:szCs w:val="18"/>
              </w:rPr>
              <w:t>;</w:t>
            </w:r>
            <w:r>
              <w:rPr>
                <w:sz w:val="18"/>
                <w:szCs w:val="18"/>
              </w:rPr>
              <w:t xml:space="preserve"> 6. Chronic viral hepatitis B</w:t>
            </w:r>
          </w:p>
          <w:p w14:paraId="76F1C265" w14:textId="77777777" w:rsidR="00BE783E" w:rsidRDefault="00000000">
            <w:pPr>
              <w:rPr>
                <w:sz w:val="18"/>
                <w:szCs w:val="18"/>
              </w:rPr>
            </w:pPr>
            <w:r>
              <w:rPr>
                <w:sz w:val="18"/>
                <w:szCs w:val="18"/>
              </w:rPr>
              <w:t xml:space="preserve">Symptoms and signs at the time of discharge: the patient's speech is unfavorable, the numbness of the left upper limb has improved significantly compared with that at the time of admission, no other special discomfort has been complained of, no headache, no tinnitus, earache, no nausea, vomiting, no rotation of objects, double vision, no tinnitus, Nystagmus, clear speech, good physical movement, good spirit, eating, rest at night, normal defecation and urination. There was no obvious change in physical examination. Nervous system physical examination: clear consciousness, question-and-answer, clear speech, physical examination cooperation, sensitive response. Rough tests of memory, </w:t>
            </w:r>
          </w:p>
        </w:tc>
      </w:tr>
    </w:tbl>
    <w:p w14:paraId="3C194619" w14:textId="77777777" w:rsidR="00BE783E" w:rsidRDefault="00BE783E">
      <w:pPr>
        <w:jc w:val="right"/>
      </w:pPr>
    </w:p>
    <w:p w14:paraId="30A2FD8E" w14:textId="77777777" w:rsidR="00BE783E" w:rsidRDefault="00000000">
      <w:pPr>
        <w:widowControl/>
        <w:jc w:val="left"/>
      </w:pPr>
      <w:r>
        <w:br w:type="page"/>
      </w:r>
    </w:p>
    <w:p w14:paraId="77E60D92" w14:textId="77777777" w:rsidR="00BE783E" w:rsidRDefault="00BE783E">
      <w:pPr>
        <w:jc w:val="right"/>
      </w:pPr>
    </w:p>
    <w:p w14:paraId="4FA383D6" w14:textId="77777777" w:rsidR="00BE783E" w:rsidRDefault="00000000">
      <w:pPr>
        <w:jc w:val="center"/>
        <w:rPr>
          <w:b/>
        </w:rPr>
      </w:pPr>
      <w:r>
        <w:rPr>
          <w:b/>
        </w:rPr>
        <w:t>Affiliated Hospital of Yan'an University</w:t>
      </w:r>
    </w:p>
    <w:p w14:paraId="4F0594DD" w14:textId="77777777" w:rsidR="00BE783E" w:rsidRDefault="00000000">
      <w:pPr>
        <w:jc w:val="center"/>
        <w:rPr>
          <w:b/>
        </w:rPr>
      </w:pPr>
      <w:r>
        <w:rPr>
          <w:b/>
        </w:rPr>
        <w:t xml:space="preserve">Discharge </w:t>
      </w:r>
      <w:r>
        <w:rPr>
          <w:rFonts w:hint="eastAsia"/>
          <w:b/>
        </w:rPr>
        <w:t>R</w:t>
      </w:r>
      <w:r>
        <w:rPr>
          <w:b/>
        </w:rPr>
        <w:t>ecords</w:t>
      </w:r>
    </w:p>
    <w:tbl>
      <w:tblPr>
        <w:tblStyle w:val="TableGrid"/>
        <w:tblW w:w="10491" w:type="dxa"/>
        <w:tblInd w:w="-318" w:type="dxa"/>
        <w:tblLook w:val="04A0" w:firstRow="1" w:lastRow="0" w:firstColumn="1" w:lastColumn="0" w:noHBand="0" w:noVBand="1"/>
      </w:tblPr>
      <w:tblGrid>
        <w:gridCol w:w="1844"/>
        <w:gridCol w:w="1276"/>
        <w:gridCol w:w="850"/>
        <w:gridCol w:w="2552"/>
        <w:gridCol w:w="1134"/>
        <w:gridCol w:w="2835"/>
      </w:tblGrid>
      <w:tr w:rsidR="00BE783E" w14:paraId="296719C2" w14:textId="77777777">
        <w:tc>
          <w:tcPr>
            <w:tcW w:w="1844" w:type="dxa"/>
            <w:tcBorders>
              <w:top w:val="nil"/>
              <w:left w:val="nil"/>
              <w:bottom w:val="single" w:sz="4" w:space="0" w:color="auto"/>
              <w:right w:val="nil"/>
            </w:tcBorders>
          </w:tcPr>
          <w:p w14:paraId="242CC03F" w14:textId="5AC4A2AF" w:rsidR="00BE783E" w:rsidRDefault="00000000">
            <w:pPr>
              <w:rPr>
                <w:sz w:val="18"/>
                <w:szCs w:val="18"/>
              </w:rPr>
            </w:pPr>
            <w:r>
              <w:rPr>
                <w:sz w:val="18"/>
                <w:szCs w:val="18"/>
              </w:rPr>
              <w:t xml:space="preserve">Name: </w:t>
            </w:r>
            <w:r w:rsidR="002B372D">
              <w:rPr>
                <w:sz w:val="18"/>
                <w:szCs w:val="18"/>
              </w:rPr>
              <w:t>Patient3</w:t>
            </w:r>
          </w:p>
        </w:tc>
        <w:tc>
          <w:tcPr>
            <w:tcW w:w="1276" w:type="dxa"/>
            <w:tcBorders>
              <w:top w:val="nil"/>
              <w:left w:val="nil"/>
              <w:bottom w:val="single" w:sz="4" w:space="0" w:color="auto"/>
              <w:right w:val="nil"/>
            </w:tcBorders>
          </w:tcPr>
          <w:p w14:paraId="63D8022F" w14:textId="77777777" w:rsidR="00BE783E" w:rsidRDefault="00000000">
            <w:pPr>
              <w:rPr>
                <w:sz w:val="18"/>
                <w:szCs w:val="18"/>
              </w:rPr>
            </w:pPr>
            <w:r>
              <w:rPr>
                <w:sz w:val="18"/>
                <w:szCs w:val="18"/>
              </w:rPr>
              <w:t>Gender</w:t>
            </w:r>
            <w:r>
              <w:rPr>
                <w:rFonts w:hint="eastAsia"/>
                <w:sz w:val="18"/>
                <w:szCs w:val="18"/>
              </w:rPr>
              <w:t>: M</w:t>
            </w:r>
            <w:r>
              <w:rPr>
                <w:sz w:val="18"/>
                <w:szCs w:val="18"/>
              </w:rPr>
              <w:t>ale</w:t>
            </w:r>
          </w:p>
        </w:tc>
        <w:tc>
          <w:tcPr>
            <w:tcW w:w="850" w:type="dxa"/>
            <w:tcBorders>
              <w:top w:val="nil"/>
              <w:left w:val="nil"/>
              <w:bottom w:val="single" w:sz="4" w:space="0" w:color="auto"/>
              <w:right w:val="nil"/>
            </w:tcBorders>
          </w:tcPr>
          <w:p w14:paraId="70D8A1FC" w14:textId="77777777" w:rsidR="00BE783E" w:rsidRDefault="00000000">
            <w:pPr>
              <w:rPr>
                <w:sz w:val="18"/>
                <w:szCs w:val="18"/>
              </w:rPr>
            </w:pPr>
            <w:r>
              <w:rPr>
                <w:sz w:val="18"/>
                <w:szCs w:val="18"/>
              </w:rPr>
              <w:t xml:space="preserve">Age: </w:t>
            </w:r>
            <w:r>
              <w:rPr>
                <w:rFonts w:hint="eastAsia"/>
                <w:sz w:val="18"/>
                <w:szCs w:val="18"/>
              </w:rPr>
              <w:t>51</w:t>
            </w:r>
          </w:p>
        </w:tc>
        <w:tc>
          <w:tcPr>
            <w:tcW w:w="2552" w:type="dxa"/>
            <w:tcBorders>
              <w:top w:val="nil"/>
              <w:left w:val="nil"/>
              <w:bottom w:val="single" w:sz="4" w:space="0" w:color="auto"/>
              <w:right w:val="nil"/>
            </w:tcBorders>
          </w:tcPr>
          <w:p w14:paraId="41CB2361" w14:textId="77777777" w:rsidR="00BE783E" w:rsidRDefault="00000000">
            <w:pPr>
              <w:rPr>
                <w:sz w:val="18"/>
                <w:szCs w:val="18"/>
              </w:rPr>
            </w:pPr>
            <w:r>
              <w:rPr>
                <w:sz w:val="18"/>
                <w:szCs w:val="18"/>
              </w:rPr>
              <w:t>Department: Neurology Ward 2</w:t>
            </w:r>
          </w:p>
        </w:tc>
        <w:tc>
          <w:tcPr>
            <w:tcW w:w="1134" w:type="dxa"/>
            <w:tcBorders>
              <w:top w:val="nil"/>
              <w:left w:val="nil"/>
              <w:bottom w:val="single" w:sz="4" w:space="0" w:color="auto"/>
              <w:right w:val="nil"/>
            </w:tcBorders>
          </w:tcPr>
          <w:p w14:paraId="29190A32" w14:textId="77777777" w:rsidR="00BE783E" w:rsidRDefault="00000000">
            <w:pPr>
              <w:rPr>
                <w:sz w:val="18"/>
                <w:szCs w:val="18"/>
              </w:rPr>
            </w:pPr>
            <w:r>
              <w:rPr>
                <w:sz w:val="18"/>
                <w:szCs w:val="18"/>
              </w:rPr>
              <w:t xml:space="preserve">Bed No.: </w:t>
            </w:r>
            <w:r>
              <w:rPr>
                <w:rFonts w:hint="eastAsia"/>
                <w:sz w:val="18"/>
                <w:szCs w:val="18"/>
              </w:rPr>
              <w:t>22</w:t>
            </w:r>
          </w:p>
        </w:tc>
        <w:tc>
          <w:tcPr>
            <w:tcW w:w="2835" w:type="dxa"/>
            <w:tcBorders>
              <w:top w:val="nil"/>
              <w:left w:val="nil"/>
              <w:bottom w:val="single" w:sz="4" w:space="0" w:color="auto"/>
              <w:right w:val="nil"/>
            </w:tcBorders>
          </w:tcPr>
          <w:p w14:paraId="40A8DE5B" w14:textId="77777777" w:rsidR="00BE783E" w:rsidRDefault="00000000">
            <w:pPr>
              <w:rPr>
                <w:sz w:val="18"/>
                <w:szCs w:val="18"/>
              </w:rPr>
            </w:pPr>
            <w:r>
              <w:rPr>
                <w:sz w:val="18"/>
                <w:szCs w:val="18"/>
              </w:rPr>
              <w:t>Medical Record No.: 0002444695</w:t>
            </w:r>
          </w:p>
        </w:tc>
      </w:tr>
      <w:tr w:rsidR="00BE783E" w14:paraId="7B59931B" w14:textId="77777777">
        <w:trPr>
          <w:trHeight w:val="12055"/>
        </w:trPr>
        <w:tc>
          <w:tcPr>
            <w:tcW w:w="10491" w:type="dxa"/>
            <w:gridSpan w:val="6"/>
            <w:tcBorders>
              <w:left w:val="nil"/>
              <w:bottom w:val="nil"/>
              <w:right w:val="nil"/>
            </w:tcBorders>
          </w:tcPr>
          <w:p w14:paraId="7353F300" w14:textId="77777777" w:rsidR="00BE783E" w:rsidRDefault="00000000">
            <w:pPr>
              <w:rPr>
                <w:sz w:val="18"/>
                <w:szCs w:val="18"/>
              </w:rPr>
            </w:pPr>
            <w:r>
              <w:rPr>
                <w:sz w:val="18"/>
                <w:szCs w:val="18"/>
              </w:rPr>
              <w:t>calculation, comprehension, judgment, and orientation were normal, and there were no apraxia, agnosia, and aphasia. Negative cranial nerves</w:t>
            </w:r>
            <w:r>
              <w:rPr>
                <w:rFonts w:hint="eastAsia"/>
                <w:sz w:val="18"/>
                <w:szCs w:val="18"/>
              </w:rPr>
              <w:t>;</w:t>
            </w:r>
            <w:r>
              <w:rPr>
                <w:sz w:val="18"/>
                <w:szCs w:val="18"/>
              </w:rPr>
              <w:t xml:space="preserve"> </w:t>
            </w:r>
            <w:r>
              <w:rPr>
                <w:rFonts w:hint="eastAsia"/>
                <w:sz w:val="18"/>
                <w:szCs w:val="18"/>
              </w:rPr>
              <w:t>t</w:t>
            </w:r>
            <w:r>
              <w:rPr>
                <w:sz w:val="18"/>
                <w:szCs w:val="18"/>
              </w:rPr>
              <w:t>he muscle volume of the limbs was normal, the muscle tone of the limbs was moderate, the muscle strength of the left limb was 4 grades, and the muscle strength of the remaining limbs was grade 5s. Bilateral finger-nose test and heel-knee-shin test were stable and accurate. Extremities pain temperature sense, tactile sense bilateral symmetrical existence.</w:t>
            </w:r>
          </w:p>
          <w:p w14:paraId="769E4ACC" w14:textId="77777777" w:rsidR="00BE783E" w:rsidRDefault="00000000">
            <w:pPr>
              <w:rPr>
                <w:sz w:val="18"/>
                <w:szCs w:val="18"/>
              </w:rPr>
            </w:pPr>
            <w:r>
              <w:rPr>
                <w:sz w:val="18"/>
                <w:szCs w:val="18"/>
              </w:rPr>
              <w:t>Discharge Condition: improving</w:t>
            </w:r>
          </w:p>
          <w:p w14:paraId="31A8616E" w14:textId="77777777" w:rsidR="00BE783E" w:rsidRDefault="00000000">
            <w:pPr>
              <w:rPr>
                <w:sz w:val="18"/>
                <w:szCs w:val="18"/>
              </w:rPr>
            </w:pPr>
            <w:r>
              <w:rPr>
                <w:noProof/>
                <w:sz w:val="18"/>
                <w:szCs w:val="18"/>
              </w:rPr>
              <w:drawing>
                <wp:anchor distT="0" distB="0" distL="114300" distR="114300" simplePos="0" relativeHeight="251659264" behindDoc="1" locked="0" layoutInCell="1" allowOverlap="1" wp14:anchorId="209FC34E" wp14:editId="2C143DE3">
                  <wp:simplePos x="0" y="0"/>
                  <wp:positionH relativeFrom="column">
                    <wp:posOffset>5770245</wp:posOffset>
                  </wp:positionH>
                  <wp:positionV relativeFrom="paragraph">
                    <wp:posOffset>1356995</wp:posOffset>
                  </wp:positionV>
                  <wp:extent cx="791210" cy="325120"/>
                  <wp:effectExtent l="0" t="0" r="889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791210" cy="325120"/>
                          </a:xfrm>
                          <a:prstGeom prst="rect">
                            <a:avLst/>
                          </a:prstGeom>
                          <a:noFill/>
                          <a:ln>
                            <a:noFill/>
                          </a:ln>
                        </pic:spPr>
                      </pic:pic>
                    </a:graphicData>
                  </a:graphic>
                </wp:anchor>
              </w:drawing>
            </w:r>
            <w:r>
              <w:rPr>
                <w:sz w:val="18"/>
                <w:szCs w:val="18"/>
              </w:rPr>
              <w:t xml:space="preserve">Discharge </w:t>
            </w:r>
            <w:r>
              <w:rPr>
                <w:rFonts w:hint="eastAsia"/>
                <w:sz w:val="18"/>
                <w:szCs w:val="18"/>
              </w:rPr>
              <w:t>D</w:t>
            </w:r>
            <w:r>
              <w:rPr>
                <w:sz w:val="18"/>
                <w:szCs w:val="18"/>
              </w:rPr>
              <w:t xml:space="preserve">octor's </w:t>
            </w:r>
            <w:r>
              <w:rPr>
                <w:rFonts w:hint="eastAsia"/>
                <w:sz w:val="18"/>
                <w:szCs w:val="18"/>
              </w:rPr>
              <w:t>O</w:t>
            </w:r>
            <w:r>
              <w:rPr>
                <w:sz w:val="18"/>
                <w:szCs w:val="18"/>
              </w:rPr>
              <w:t>rder: After discharge: 1. Low-salt and low-fat diet, dynamic monitoring of blood pressure levels. 2. Pay attention to rest, avoid fatigue and colds, keep a happy mood, and exercise properly. 3. Regular oral drugs outside the hospital: aspirin enteric-coated tablets, each dose: 0.1 g, orally, qd, clopidogrel bisulfate tablets, each dose: 75mg, orally, qd, (a total of 21 days after oral administration), atorvastatin calcium tablets J, each dose: 20mg, orally, qd, 4. Follow-up guidance: review of liver function, blood lipids, and cervical blood vessels after 3 months Color Doppler ultrasound: annual review of chest CT, Respiratory medicine follow-up. Regular monitoring of liver function, outpatient follow-up for infectious diseases</w:t>
            </w:r>
            <w:r>
              <w:rPr>
                <w:rFonts w:hint="eastAsia"/>
                <w:sz w:val="18"/>
                <w:szCs w:val="18"/>
              </w:rPr>
              <w:t>;</w:t>
            </w:r>
            <w:r>
              <w:rPr>
                <w:sz w:val="18"/>
                <w:szCs w:val="18"/>
              </w:rPr>
              <w:t xml:space="preserve"> </w:t>
            </w:r>
            <w:r>
              <w:rPr>
                <w:rFonts w:hint="eastAsia"/>
                <w:sz w:val="18"/>
                <w:szCs w:val="18"/>
              </w:rPr>
              <w:t>visit to the hospital on discomfort.</w:t>
            </w:r>
          </w:p>
          <w:p w14:paraId="23AE9367" w14:textId="77777777" w:rsidR="00BE783E" w:rsidRDefault="00BE783E">
            <w:pPr>
              <w:rPr>
                <w:sz w:val="18"/>
                <w:szCs w:val="18"/>
              </w:rPr>
            </w:pPr>
          </w:p>
        </w:tc>
      </w:tr>
    </w:tbl>
    <w:p w14:paraId="366D77F5" w14:textId="77777777" w:rsidR="00BE783E" w:rsidRDefault="00BE783E"/>
    <w:sectPr w:rsidR="00BE783E">
      <w:headerReference w:type="default" r:id="rId7"/>
      <w:footerReference w:type="default" r:id="rId8"/>
      <w:pgSz w:w="11906" w:h="16838"/>
      <w:pgMar w:top="1134" w:right="1134" w:bottom="1134" w:left="1134" w:header="851" w:footer="992" w:gutter="0"/>
      <w:pgNumType w:start="1"/>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35454" w14:textId="77777777" w:rsidR="002E72DC" w:rsidRDefault="002E72DC">
      <w:r>
        <w:separator/>
      </w:r>
    </w:p>
  </w:endnote>
  <w:endnote w:type="continuationSeparator" w:id="0">
    <w:p w14:paraId="40055F4F" w14:textId="77777777" w:rsidR="002E72DC" w:rsidRDefault="002E7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37D42" w14:textId="77777777" w:rsidR="00BE783E" w:rsidRDefault="00000000">
    <w:pPr>
      <w:pStyle w:val="Footer"/>
      <w:jc w:val="center"/>
    </w:pPr>
    <w:r>
      <w:fldChar w:fldCharType="begin"/>
    </w:r>
    <w:r>
      <w:instrText>PAGE   \* MERGEFORMAT</w:instrText>
    </w:r>
    <w:r>
      <w:fldChar w:fldCharType="separate"/>
    </w:r>
    <w:r>
      <w:rPr>
        <w:lang w:val="zh-CN"/>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99810" w14:textId="77777777" w:rsidR="002E72DC" w:rsidRDefault="002E72DC">
      <w:r>
        <w:separator/>
      </w:r>
    </w:p>
  </w:footnote>
  <w:footnote w:type="continuationSeparator" w:id="0">
    <w:p w14:paraId="6123357B" w14:textId="77777777" w:rsidR="002E72DC" w:rsidRDefault="002E72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3BB6E" w14:textId="77777777" w:rsidR="00BE783E" w:rsidRDefault="00BE783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jNkOWU4NDgzMTBjZGQ0YjNjZGYzM2FhNDViYjJkY2YifQ=="/>
  </w:docVars>
  <w:rsids>
    <w:rsidRoot w:val="00C41317"/>
    <w:rsid w:val="00001F32"/>
    <w:rsid w:val="000224B2"/>
    <w:rsid w:val="00031AB1"/>
    <w:rsid w:val="0005346A"/>
    <w:rsid w:val="00054368"/>
    <w:rsid w:val="00060E0E"/>
    <w:rsid w:val="00074227"/>
    <w:rsid w:val="00083CFD"/>
    <w:rsid w:val="00087EAE"/>
    <w:rsid w:val="0009062A"/>
    <w:rsid w:val="00090EC5"/>
    <w:rsid w:val="00091CFF"/>
    <w:rsid w:val="00091FEC"/>
    <w:rsid w:val="000C652F"/>
    <w:rsid w:val="000D5F3E"/>
    <w:rsid w:val="000D6123"/>
    <w:rsid w:val="000F3667"/>
    <w:rsid w:val="000F3ED6"/>
    <w:rsid w:val="001055A3"/>
    <w:rsid w:val="001058BC"/>
    <w:rsid w:val="001073F4"/>
    <w:rsid w:val="0011725D"/>
    <w:rsid w:val="00130439"/>
    <w:rsid w:val="00135FB3"/>
    <w:rsid w:val="001421D8"/>
    <w:rsid w:val="001423F8"/>
    <w:rsid w:val="001646EB"/>
    <w:rsid w:val="0016723C"/>
    <w:rsid w:val="00176865"/>
    <w:rsid w:val="00180E1E"/>
    <w:rsid w:val="00183F68"/>
    <w:rsid w:val="00186118"/>
    <w:rsid w:val="00191FEA"/>
    <w:rsid w:val="001929AD"/>
    <w:rsid w:val="001B55C2"/>
    <w:rsid w:val="001B79E3"/>
    <w:rsid w:val="001D0919"/>
    <w:rsid w:val="001D42F4"/>
    <w:rsid w:val="001D62E5"/>
    <w:rsid w:val="001E4976"/>
    <w:rsid w:val="001F5DC4"/>
    <w:rsid w:val="001F6534"/>
    <w:rsid w:val="00204CC3"/>
    <w:rsid w:val="00207D90"/>
    <w:rsid w:val="002119BE"/>
    <w:rsid w:val="00213C00"/>
    <w:rsid w:val="00216E99"/>
    <w:rsid w:val="00220B5D"/>
    <w:rsid w:val="0022596E"/>
    <w:rsid w:val="0022601F"/>
    <w:rsid w:val="00227008"/>
    <w:rsid w:val="00230DF1"/>
    <w:rsid w:val="002415AE"/>
    <w:rsid w:val="0024262D"/>
    <w:rsid w:val="00260163"/>
    <w:rsid w:val="0026560E"/>
    <w:rsid w:val="002707CD"/>
    <w:rsid w:val="00277F44"/>
    <w:rsid w:val="00287EDA"/>
    <w:rsid w:val="00290D51"/>
    <w:rsid w:val="00291CE8"/>
    <w:rsid w:val="00292EF0"/>
    <w:rsid w:val="002A7D56"/>
    <w:rsid w:val="002B2410"/>
    <w:rsid w:val="002B2835"/>
    <w:rsid w:val="002B372D"/>
    <w:rsid w:val="002B780C"/>
    <w:rsid w:val="002C0DCB"/>
    <w:rsid w:val="002C3C64"/>
    <w:rsid w:val="002C722A"/>
    <w:rsid w:val="002D5A60"/>
    <w:rsid w:val="002E0D7C"/>
    <w:rsid w:val="002E2BDC"/>
    <w:rsid w:val="002E57DC"/>
    <w:rsid w:val="002E59E4"/>
    <w:rsid w:val="002E712C"/>
    <w:rsid w:val="002E72DC"/>
    <w:rsid w:val="002F22AC"/>
    <w:rsid w:val="002F4EAE"/>
    <w:rsid w:val="00302FA6"/>
    <w:rsid w:val="00304A60"/>
    <w:rsid w:val="00307A54"/>
    <w:rsid w:val="00321AFA"/>
    <w:rsid w:val="003335AC"/>
    <w:rsid w:val="00342FFE"/>
    <w:rsid w:val="0035742D"/>
    <w:rsid w:val="0036233C"/>
    <w:rsid w:val="003774D2"/>
    <w:rsid w:val="0038001E"/>
    <w:rsid w:val="00380627"/>
    <w:rsid w:val="003936A6"/>
    <w:rsid w:val="003A0E32"/>
    <w:rsid w:val="003A2A18"/>
    <w:rsid w:val="003A3947"/>
    <w:rsid w:val="003B6A4C"/>
    <w:rsid w:val="003C5BC1"/>
    <w:rsid w:val="003D205C"/>
    <w:rsid w:val="003D20B9"/>
    <w:rsid w:val="003D4E41"/>
    <w:rsid w:val="003D6286"/>
    <w:rsid w:val="003E17D2"/>
    <w:rsid w:val="003E549F"/>
    <w:rsid w:val="003E5856"/>
    <w:rsid w:val="003F3B1E"/>
    <w:rsid w:val="00400D09"/>
    <w:rsid w:val="00403BBD"/>
    <w:rsid w:val="00420ECE"/>
    <w:rsid w:val="0042766D"/>
    <w:rsid w:val="004318BD"/>
    <w:rsid w:val="0043321D"/>
    <w:rsid w:val="00443CCB"/>
    <w:rsid w:val="00450556"/>
    <w:rsid w:val="004613DC"/>
    <w:rsid w:val="00464020"/>
    <w:rsid w:val="004659E4"/>
    <w:rsid w:val="00467188"/>
    <w:rsid w:val="00484883"/>
    <w:rsid w:val="00485DEE"/>
    <w:rsid w:val="00491153"/>
    <w:rsid w:val="0049706C"/>
    <w:rsid w:val="004A10BE"/>
    <w:rsid w:val="004A2703"/>
    <w:rsid w:val="004B3504"/>
    <w:rsid w:val="004D0290"/>
    <w:rsid w:val="004D3A47"/>
    <w:rsid w:val="004D4DDD"/>
    <w:rsid w:val="004E08DC"/>
    <w:rsid w:val="004E6342"/>
    <w:rsid w:val="004E6FA0"/>
    <w:rsid w:val="004F28FA"/>
    <w:rsid w:val="004F35AD"/>
    <w:rsid w:val="004F6419"/>
    <w:rsid w:val="005061A5"/>
    <w:rsid w:val="00554C6A"/>
    <w:rsid w:val="00557637"/>
    <w:rsid w:val="00563500"/>
    <w:rsid w:val="00565454"/>
    <w:rsid w:val="00593C4F"/>
    <w:rsid w:val="00595440"/>
    <w:rsid w:val="005A45CF"/>
    <w:rsid w:val="005A7824"/>
    <w:rsid w:val="005B69A0"/>
    <w:rsid w:val="005C508B"/>
    <w:rsid w:val="005C65FB"/>
    <w:rsid w:val="005C7086"/>
    <w:rsid w:val="005C7E4D"/>
    <w:rsid w:val="005E4D6E"/>
    <w:rsid w:val="0060136C"/>
    <w:rsid w:val="0061266E"/>
    <w:rsid w:val="00632CB2"/>
    <w:rsid w:val="00632DEC"/>
    <w:rsid w:val="00635A85"/>
    <w:rsid w:val="00641C72"/>
    <w:rsid w:val="00643B12"/>
    <w:rsid w:val="00650380"/>
    <w:rsid w:val="00662D92"/>
    <w:rsid w:val="0066660D"/>
    <w:rsid w:val="00670DF3"/>
    <w:rsid w:val="006840DA"/>
    <w:rsid w:val="00690281"/>
    <w:rsid w:val="006953B5"/>
    <w:rsid w:val="006966FB"/>
    <w:rsid w:val="006A253A"/>
    <w:rsid w:val="006A44E1"/>
    <w:rsid w:val="006B4C9A"/>
    <w:rsid w:val="006B757A"/>
    <w:rsid w:val="006C1B4B"/>
    <w:rsid w:val="006D68CF"/>
    <w:rsid w:val="006E6D98"/>
    <w:rsid w:val="006F2927"/>
    <w:rsid w:val="006F4980"/>
    <w:rsid w:val="006F5583"/>
    <w:rsid w:val="00720F71"/>
    <w:rsid w:val="007247EC"/>
    <w:rsid w:val="00725D55"/>
    <w:rsid w:val="00731BF7"/>
    <w:rsid w:val="0073536F"/>
    <w:rsid w:val="00747CB3"/>
    <w:rsid w:val="00771FA8"/>
    <w:rsid w:val="00773243"/>
    <w:rsid w:val="00774BF9"/>
    <w:rsid w:val="00793E11"/>
    <w:rsid w:val="00795DE1"/>
    <w:rsid w:val="007A246F"/>
    <w:rsid w:val="007B679C"/>
    <w:rsid w:val="007C7A2F"/>
    <w:rsid w:val="007D1304"/>
    <w:rsid w:val="007E6105"/>
    <w:rsid w:val="007F5FC3"/>
    <w:rsid w:val="00803CC3"/>
    <w:rsid w:val="008043C0"/>
    <w:rsid w:val="0080470D"/>
    <w:rsid w:val="00806910"/>
    <w:rsid w:val="0081278A"/>
    <w:rsid w:val="0082383F"/>
    <w:rsid w:val="008253B0"/>
    <w:rsid w:val="00830BF1"/>
    <w:rsid w:val="00831FFC"/>
    <w:rsid w:val="00833B55"/>
    <w:rsid w:val="00844781"/>
    <w:rsid w:val="0085550A"/>
    <w:rsid w:val="00863CE0"/>
    <w:rsid w:val="00863F1C"/>
    <w:rsid w:val="008776C7"/>
    <w:rsid w:val="0088573C"/>
    <w:rsid w:val="008877CD"/>
    <w:rsid w:val="00890052"/>
    <w:rsid w:val="008917EB"/>
    <w:rsid w:val="008954E1"/>
    <w:rsid w:val="008A0277"/>
    <w:rsid w:val="008A3477"/>
    <w:rsid w:val="008B7BC9"/>
    <w:rsid w:val="008C346E"/>
    <w:rsid w:val="008D1E42"/>
    <w:rsid w:val="008D2487"/>
    <w:rsid w:val="008D6886"/>
    <w:rsid w:val="008E2436"/>
    <w:rsid w:val="008F3051"/>
    <w:rsid w:val="008F547A"/>
    <w:rsid w:val="009002F2"/>
    <w:rsid w:val="0090281C"/>
    <w:rsid w:val="009052AA"/>
    <w:rsid w:val="0090772E"/>
    <w:rsid w:val="00912B2D"/>
    <w:rsid w:val="00923613"/>
    <w:rsid w:val="00924E26"/>
    <w:rsid w:val="00930F0C"/>
    <w:rsid w:val="009558AE"/>
    <w:rsid w:val="009563D4"/>
    <w:rsid w:val="00966742"/>
    <w:rsid w:val="009806CE"/>
    <w:rsid w:val="009861F8"/>
    <w:rsid w:val="00990A6A"/>
    <w:rsid w:val="009C070B"/>
    <w:rsid w:val="009C3A0C"/>
    <w:rsid w:val="009C7A66"/>
    <w:rsid w:val="009D259E"/>
    <w:rsid w:val="009E267B"/>
    <w:rsid w:val="009E409C"/>
    <w:rsid w:val="009F23CC"/>
    <w:rsid w:val="00A0096F"/>
    <w:rsid w:val="00A02747"/>
    <w:rsid w:val="00A11C32"/>
    <w:rsid w:val="00A23F1D"/>
    <w:rsid w:val="00A34109"/>
    <w:rsid w:val="00A367F9"/>
    <w:rsid w:val="00A4427A"/>
    <w:rsid w:val="00A52B99"/>
    <w:rsid w:val="00A60678"/>
    <w:rsid w:val="00A77383"/>
    <w:rsid w:val="00A877DA"/>
    <w:rsid w:val="00AA2436"/>
    <w:rsid w:val="00AA533A"/>
    <w:rsid w:val="00AB054B"/>
    <w:rsid w:val="00AB057E"/>
    <w:rsid w:val="00AB5E47"/>
    <w:rsid w:val="00AC3D1D"/>
    <w:rsid w:val="00AC3EA8"/>
    <w:rsid w:val="00AD0884"/>
    <w:rsid w:val="00AD6785"/>
    <w:rsid w:val="00AF1832"/>
    <w:rsid w:val="00AF1995"/>
    <w:rsid w:val="00AF7DFD"/>
    <w:rsid w:val="00B02E50"/>
    <w:rsid w:val="00B05096"/>
    <w:rsid w:val="00B11948"/>
    <w:rsid w:val="00B16215"/>
    <w:rsid w:val="00B20A57"/>
    <w:rsid w:val="00B333A7"/>
    <w:rsid w:val="00B52916"/>
    <w:rsid w:val="00B56157"/>
    <w:rsid w:val="00B72D01"/>
    <w:rsid w:val="00B9537E"/>
    <w:rsid w:val="00BA2EEB"/>
    <w:rsid w:val="00BA5401"/>
    <w:rsid w:val="00BA66DE"/>
    <w:rsid w:val="00BB4A48"/>
    <w:rsid w:val="00BB54E0"/>
    <w:rsid w:val="00BB79A8"/>
    <w:rsid w:val="00BC648C"/>
    <w:rsid w:val="00BD0A89"/>
    <w:rsid w:val="00BD3E14"/>
    <w:rsid w:val="00BE761B"/>
    <w:rsid w:val="00BE783E"/>
    <w:rsid w:val="00BF31AC"/>
    <w:rsid w:val="00BF5682"/>
    <w:rsid w:val="00C04BB0"/>
    <w:rsid w:val="00C155BF"/>
    <w:rsid w:val="00C34407"/>
    <w:rsid w:val="00C41317"/>
    <w:rsid w:val="00C43951"/>
    <w:rsid w:val="00C44643"/>
    <w:rsid w:val="00C5523C"/>
    <w:rsid w:val="00C836DD"/>
    <w:rsid w:val="00C837AA"/>
    <w:rsid w:val="00C858EC"/>
    <w:rsid w:val="00C921C7"/>
    <w:rsid w:val="00C9582A"/>
    <w:rsid w:val="00CA401A"/>
    <w:rsid w:val="00CA588A"/>
    <w:rsid w:val="00CA60E6"/>
    <w:rsid w:val="00CB07F9"/>
    <w:rsid w:val="00CB22C4"/>
    <w:rsid w:val="00CC7049"/>
    <w:rsid w:val="00CD3E78"/>
    <w:rsid w:val="00CD5430"/>
    <w:rsid w:val="00CF67E9"/>
    <w:rsid w:val="00D04A54"/>
    <w:rsid w:val="00D05333"/>
    <w:rsid w:val="00D16E54"/>
    <w:rsid w:val="00D172FD"/>
    <w:rsid w:val="00D266FE"/>
    <w:rsid w:val="00D31FAC"/>
    <w:rsid w:val="00D500F1"/>
    <w:rsid w:val="00D77C8D"/>
    <w:rsid w:val="00D830D7"/>
    <w:rsid w:val="00D977D9"/>
    <w:rsid w:val="00DA0B20"/>
    <w:rsid w:val="00DA3991"/>
    <w:rsid w:val="00DB4585"/>
    <w:rsid w:val="00DC6AB9"/>
    <w:rsid w:val="00DD0C8D"/>
    <w:rsid w:val="00DE17A0"/>
    <w:rsid w:val="00DE4E13"/>
    <w:rsid w:val="00DF6234"/>
    <w:rsid w:val="00DF6BD5"/>
    <w:rsid w:val="00E0118C"/>
    <w:rsid w:val="00E043E9"/>
    <w:rsid w:val="00E05879"/>
    <w:rsid w:val="00E06D6D"/>
    <w:rsid w:val="00E143AD"/>
    <w:rsid w:val="00E31DB6"/>
    <w:rsid w:val="00E32745"/>
    <w:rsid w:val="00E36CDD"/>
    <w:rsid w:val="00E4657F"/>
    <w:rsid w:val="00E4720F"/>
    <w:rsid w:val="00E516FA"/>
    <w:rsid w:val="00E60081"/>
    <w:rsid w:val="00E67E92"/>
    <w:rsid w:val="00E77149"/>
    <w:rsid w:val="00E77CB0"/>
    <w:rsid w:val="00E8187F"/>
    <w:rsid w:val="00E83003"/>
    <w:rsid w:val="00E83071"/>
    <w:rsid w:val="00E84BE2"/>
    <w:rsid w:val="00E91B4F"/>
    <w:rsid w:val="00E96B9A"/>
    <w:rsid w:val="00EA12A4"/>
    <w:rsid w:val="00EA268B"/>
    <w:rsid w:val="00EA5646"/>
    <w:rsid w:val="00EA6D44"/>
    <w:rsid w:val="00EB0E11"/>
    <w:rsid w:val="00EC3AAF"/>
    <w:rsid w:val="00ED1D11"/>
    <w:rsid w:val="00ED2FA4"/>
    <w:rsid w:val="00EE051F"/>
    <w:rsid w:val="00EE3616"/>
    <w:rsid w:val="00EE4FE1"/>
    <w:rsid w:val="00EE6884"/>
    <w:rsid w:val="00EE72EB"/>
    <w:rsid w:val="00EF1B52"/>
    <w:rsid w:val="00F00646"/>
    <w:rsid w:val="00F120BB"/>
    <w:rsid w:val="00F261D4"/>
    <w:rsid w:val="00F2757F"/>
    <w:rsid w:val="00F32E8E"/>
    <w:rsid w:val="00F36E8E"/>
    <w:rsid w:val="00F418E9"/>
    <w:rsid w:val="00F43F40"/>
    <w:rsid w:val="00F613B9"/>
    <w:rsid w:val="00F6196A"/>
    <w:rsid w:val="00F721BC"/>
    <w:rsid w:val="00F7226D"/>
    <w:rsid w:val="00F76B8C"/>
    <w:rsid w:val="00F93F90"/>
    <w:rsid w:val="00FA2D83"/>
    <w:rsid w:val="00FB0508"/>
    <w:rsid w:val="00FB6433"/>
    <w:rsid w:val="00FC4024"/>
    <w:rsid w:val="00FC4111"/>
    <w:rsid w:val="00FD53E4"/>
    <w:rsid w:val="00FF2175"/>
    <w:rsid w:val="00FF5897"/>
    <w:rsid w:val="00FF65C1"/>
    <w:rsid w:val="00FF69BB"/>
    <w:rsid w:val="101C3834"/>
    <w:rsid w:val="55005DA9"/>
    <w:rsid w:val="766C1010"/>
    <w:rsid w:val="7FC74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51B26E6"/>
  <w15:docId w15:val="{A1769957-6B90-0A43-B1CE-B2D5D5B34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Default Paragraph Font" w:semiHidden="1" w:uiPriority="1" w:unhideWhenUsed="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widowControl w:val="0"/>
      <w:jc w:val="both"/>
    </w:pPr>
    <w:rPr>
      <w:kern w:val="2"/>
      <w:sz w:val="2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sz w:val="18"/>
      <w:szCs w:val="18"/>
    </w:rPr>
  </w:style>
  <w:style w:type="paragraph" w:styleId="Footer">
    <w:name w:val="footer"/>
    <w:basedOn w:val="Normal"/>
    <w:link w:val="FooterChar"/>
    <w:pPr>
      <w:tabs>
        <w:tab w:val="center" w:pos="4153"/>
        <w:tab w:val="right" w:pos="8306"/>
      </w:tabs>
      <w:snapToGrid w:val="0"/>
      <w:jc w:val="left"/>
    </w:pPr>
    <w:rPr>
      <w:sz w:val="18"/>
      <w:szCs w:val="18"/>
    </w:rPr>
  </w:style>
  <w:style w:type="paragraph" w:styleId="Header">
    <w:name w:val="header"/>
    <w:basedOn w:val="Normal"/>
    <w:link w:val="HeaderChar"/>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Pr>
      <w:kern w:val="2"/>
      <w:sz w:val="18"/>
      <w:szCs w:val="18"/>
    </w:rPr>
  </w:style>
  <w:style w:type="character" w:customStyle="1" w:styleId="FooterChar">
    <w:name w:val="Footer Char"/>
    <w:basedOn w:val="DefaultParagraphFont"/>
    <w:link w:val="Footer"/>
    <w:rPr>
      <w:kern w:val="2"/>
      <w:sz w:val="18"/>
      <w:szCs w:val="18"/>
    </w:rPr>
  </w:style>
  <w:style w:type="character" w:customStyle="1" w:styleId="BalloonTextChar">
    <w:name w:val="Balloon Text Char"/>
    <w:basedOn w:val="DefaultParagraphFont"/>
    <w:link w:val="BalloonText"/>
    <w:qFormat/>
    <w:rPr>
      <w:kern w:val="2"/>
      <w:sz w:val="18"/>
      <w:szCs w:val="18"/>
    </w:rPr>
  </w:style>
  <w:style w:type="character" w:customStyle="1" w:styleId="sv7kvtg9o">
    <w:name w:val="sv7kvtg9o"/>
    <w:basedOn w:val="DefaultParagraphFont"/>
  </w:style>
  <w:style w:type="paragraph" w:styleId="ListParagraph">
    <w:name w:val="List Paragraph"/>
    <w:basedOn w:val="Normal"/>
    <w:uiPriority w:val="99"/>
    <w:unhideWhenUs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589</TotalTime>
  <Pages>2</Pages>
  <Words>796</Words>
  <Characters>4542</Characters>
  <Application>Microsoft Office Word</Application>
  <DocSecurity>0</DocSecurity>
  <Lines>37</Lines>
  <Paragraphs>10</Paragraphs>
  <ScaleCrop>false</ScaleCrop>
  <Company>Microsoft</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延安大学附属医院</dc:title>
  <dc:creator>AutoBVT</dc:creator>
  <cp:lastModifiedBy>Yahe Yang (SSE, 119010384)</cp:lastModifiedBy>
  <cp:revision>22</cp:revision>
  <dcterms:created xsi:type="dcterms:W3CDTF">2024-07-02T07:08:00Z</dcterms:created>
  <dcterms:modified xsi:type="dcterms:W3CDTF">2024-07-03T16:13:00Z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F2EBC2BD77004D6ABA73095637D10F7F_12</vt:lpwstr>
  </property>
  <property fmtid="{D5CDD505-2E9C-101B-9397-08002B2CF9AE}" pid="3" name="KSOProductBuildVer">
    <vt:lpwstr>2052-12.1.0.16929</vt:lpwstr>
  </property>
</Properties>
</file>