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color w:val="1F2937"/>
          <w:sz w:val="21"/>
        </w:rPr>
        <w:t>Table 1. Calibration and Experimental Contract</w:t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1800"/>
        <w:gridCol w:w="3400"/>
        <w:gridCol w:w="5400"/>
      </w:tblGrid>
      <w:tr>
        <w:trPr>
          <w:tblHeader w:val="true"/>
        </w:trPr>
        <w:tc>
          <w:tcPr>
            <w:tcW w:type="dxa" w:w="18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Frozen evidence or setting</w:t>
            </w:r>
          </w:p>
        </w:tc>
        <w:tc>
          <w:tcPr>
            <w:tcW w:type="dxa" w:w="5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Scope and interpretation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Demand timing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Sao Paulo Olist purchase timestamps; 15,540 orders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Proxy for demand timing, not last-mile release timestamps.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Spatial demand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12 fixed calibration-only abstract zones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Zone weights are fitted on calibration data; platform origin remains an engineering assumption.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Weather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Sao Paulo GFS 06 UTC forecasts paired with ERA5 actual 10 m wind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20-minute matched replay; forecast-minus-actual speed bias = 0.488 m/s.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Weather gates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P50 = 0.630 m/s; P80 = 1.163 m/s; primary P90 = 1.479 m/s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P90 fixed before the 60-scenario primary evaluation; P80 is a boundary condition.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Energy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External DJI Matrice 100 public mission-energy envelope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Transfer envelope only; no claim of same-city or target-aircraft telemetry.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Policy factors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Planning access: always vs event-triggered; inertia: fixed vs adaptive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Five-policy evaluation also includes nonfactorial myopic reference.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Safety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Shared ForcedSafetyTrigger validates the released first slot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Unsafe task forces safe replan or deterministic hold/swap/defer for every policy.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5"/>
              </w:rPr>
              <w:t>Primary evaluation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60 shared Sao Paulo order-weather holdout replications; common random numbers</w:t>
            </w:r>
          </w:p>
        </w:tc>
        <w:tc>
          <w:tcPr>
            <w:tcW w:type="dxa" w:w="5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Scenario-level paired Student-t CI is primary; paired bootstrap and order-level GLMM are diagnostics.</w:t>
            </w:r>
          </w:p>
        </w:tc>
      </w:tr>
    </w:tbl>
    <w:p>
      <w:pPr>
        <w:spacing w:before="60" w:after="0"/>
      </w:pPr>
      <w:r>
        <w:rPr>
          <w:b/>
          <w:sz w:val="14"/>
        </w:rPr>
        <w:t xml:space="preserve">Note. </w:t>
      </w:r>
      <w:r>
        <w:rPr>
          <w:i/>
          <w:sz w:val="14"/>
        </w:rPr>
        <w:t>Input distributions are empirically informed. VIP labels, platform movement, W_3, and H_s remain scenario or governance parameters rather than observational estimates.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