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/>
          <w:color w:val="1F2937"/>
          <w:sz w:val="21"/>
        </w:rPr>
        <w:t>Table 2. Primary Sao Paulo Order-Weather Holdout Policy Evidence (60 Shared Replications)</w:t>
      </w:r>
    </w:p>
    <w:tbl>
      <w:tblPr>
        <w:tblW w:type="dxa" w:w="9420"/>
        <w:jc w:val="center"/>
        <w:tblLayout w:type="fixed"/>
        <w:tblLook w:firstColumn="1" w:firstRow="1" w:lastColumn="0" w:lastRow="0" w:noHBand="0" w:noVBand="1" w:val="04A0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  <w:tblInd w:type="dxa" w:w="100"/>
      </w:tblPr>
      <w:tblGrid>
        <w:gridCol w:w="1420"/>
        <w:gridCol w:w="1400"/>
        <w:gridCol w:w="1400"/>
        <w:gridCol w:w="1450"/>
        <w:gridCol w:w="1450"/>
        <w:gridCol w:w="1650"/>
        <w:gridCol w:w="650"/>
      </w:tblGrid>
      <w:tr>
        <w:trPr>
          <w:tblHeader w:val="true"/>
        </w:trPr>
        <w:tc>
          <w:tcPr>
            <w:tcW w:type="dxa" w:w="142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Policy</w:t>
            </w:r>
          </w:p>
        </w:tc>
        <w:tc>
          <w:tcPr>
            <w:tcW w:type="dxa" w:w="14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VIP on-time</w:t>
              <w:br/>
              <w:t>% [95% CI]</w:t>
            </w:r>
          </w:p>
        </w:tc>
        <w:tc>
          <w:tcPr>
            <w:tcW w:type="dxa" w:w="14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Completion</w:t>
              <w:br/>
              <w:t>% [95% CI]</w:t>
            </w:r>
          </w:p>
        </w:tc>
        <w:tc>
          <w:tcPr>
            <w:tcW w:type="dxa" w:w="14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Energy/order Wh</w:t>
              <w:br/>
              <w:t>[95% CI]</w:t>
            </w:r>
          </w:p>
        </w:tc>
        <w:tc>
          <w:tcPr>
            <w:tcW w:type="dxa" w:w="14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Policy H_s</w:t>
              <w:br/>
              <w:t>[95% CI]</w:t>
            </w:r>
          </w:p>
        </w:tc>
        <w:tc>
          <w:tcPr>
            <w:tcW w:type="dxa" w:w="16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Ordinary access</w:t>
              <w:br/>
              <w:t>% [95% CI]</w:t>
            </w:r>
          </w:p>
        </w:tc>
        <w:tc>
          <w:tcPr>
            <w:tcW w:type="dxa" w:w="6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Infeasible execution</w:t>
              <w:br/>
              <w:t>under shared guard %</w:t>
            </w:r>
          </w:p>
        </w:tc>
      </w:tr>
      <w:tr>
        <w:tc>
          <w:tcPr>
            <w:tcW w:type="dxa" w:w="14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3"/>
              </w:rPr>
              <w:t>Always fixed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44.4 [34.4, 54.4]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73.3 [69.9, 76.8]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72.4 [68.8, 76.0]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239.3 [211.4, 267.3]</w:t>
            </w:r>
          </w:p>
        </w:tc>
        <w:tc>
          <w:tcPr>
            <w:tcW w:type="dxa" w:w="1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94.7 [93.6, 95.8]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</w:t>
            </w:r>
          </w:p>
        </w:tc>
      </w:tr>
      <w:tr>
        <w:tc>
          <w:tcPr>
            <w:tcW w:type="dxa" w:w="14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3"/>
              </w:rPr>
              <w:t>ET fixed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54.3 [44.1, 64.4]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78.1 [74.6, 81.6]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83.8 [80.1, 87.6]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189.7 [170.1, 209.2]</w:t>
            </w:r>
          </w:p>
        </w:tc>
        <w:tc>
          <w:tcPr>
            <w:tcW w:type="dxa" w:w="1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49.3 [46.2, 52.4]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</w:t>
            </w:r>
          </w:p>
        </w:tc>
      </w:tr>
      <w:tr>
        <w:tc>
          <w:tcPr>
            <w:tcW w:type="dxa" w:w="14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3"/>
              </w:rPr>
              <w:t>Always adaptive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42.9 [32.9, 53.0]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71.1 [67.4, 74.7]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68.2 [64.4, 72.0]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234.8 [206.2, 263.5]</w:t>
            </w:r>
          </w:p>
        </w:tc>
        <w:tc>
          <w:tcPr>
            <w:tcW w:type="dxa" w:w="1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95.3 [94.2, 96.3]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</w:t>
            </w:r>
          </w:p>
        </w:tc>
      </w:tr>
      <w:tr>
        <w:tc>
          <w:tcPr>
            <w:tcW w:type="dxa" w:w="14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3"/>
              </w:rPr>
              <w:t>ET adaptive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59.4 [49.0, 69.8]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77.8 [74.3, 81.4]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82.3 [78.8, 85.8]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187.0 [166.3, 207.7]</w:t>
            </w:r>
          </w:p>
        </w:tc>
        <w:tc>
          <w:tcPr>
            <w:tcW w:type="dxa" w:w="1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49.7 [46.3, 53.0]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</w:t>
            </w:r>
          </w:p>
        </w:tc>
      </w:tr>
      <w:tr>
        <w:tc>
          <w:tcPr>
            <w:tcW w:type="dxa" w:w="14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3"/>
              </w:rPr>
              <w:t>Myopic reference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0.6 [-0.6, 1.7]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43.6 [41.2, 45.9]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78.7 [74.8, 82.7]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1172.3 [1092.1, 1252.6]</w:t>
            </w:r>
          </w:p>
        </w:tc>
        <w:tc>
          <w:tcPr>
            <w:tcW w:type="dxa" w:w="1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92.9 [91.2, 94.6]</w:t>
            </w:r>
          </w:p>
        </w:tc>
        <w:tc>
          <w:tcPr>
            <w:tcW w:type="dxa" w:w="6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3"/>
              </w:rPr>
              <w:t>0.0</w:t>
            </w:r>
          </w:p>
        </w:tc>
      </w:tr>
    </w:tbl>
    <w:p>
      <w:pPr>
        <w:spacing w:before="60" w:after="0"/>
      </w:pPr>
      <w:r>
        <w:rPr>
          <w:b/>
          <w:sz w:val="14"/>
        </w:rPr>
        <w:t xml:space="preserve">Note. </w:t>
      </w:r>
      <w:r>
        <w:rPr>
          <w:i/>
          <w:sz w:val="14"/>
        </w:rPr>
        <w:t>Primary paired contrast, ET fixed minus Always fixed: completion 4.8 [2.3, 7.2] pp; policy H_s -49.7 [-64.2, -35.1]; ordinary access -45.4 [-48.8, -41.9] pp. VIP on-time difference is 9.9 [-0.3, 20.0] pp under the Student-t analysis and [0.1, 19.9] pp under paired bootstrap; its primary t interval marginally crosses zero. All policies use the shared guard and had zero infeasible execution. A 3 pp completion gain is a transparent management reference, not a calibrated economic threshold or a significance substitute: the point estimate exceeds it, but its 95% CI includes gains below 3 pp.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