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Times New Roman" w:hAnsi="Times New Roman"/>
          <w:b/>
          <w:color w:val="1F2937"/>
          <w:sz w:val="21"/>
        </w:rPr>
        <w:t>Table 3. Mechanism, Boundary, and Safety Evidence</w:t>
      </w:r>
    </w:p>
    <w:p>
      <w:pPr>
        <w:spacing w:after="60"/>
      </w:pPr>
      <w:r>
        <w:rPr>
          <w:b/>
          <w:color w:val="1F4E79"/>
          <w:sz w:val="17"/>
        </w:rPr>
        <w:t>Panel A. Access-rule mechanism and boundary conditions</w:t>
      </w:r>
    </w:p>
    <w:tbl>
      <w:tblPr>
        <w:tblW w:type="dxa" w:w="9400"/>
        <w:jc w:val="center"/>
        <w:tblLayout w:type="fixed"/>
        <w:tblLook w:firstColumn="1" w:firstRow="1" w:lastColumn="0" w:lastRow="0" w:noHBand="0" w:noVBand="1" w:val="04A0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B7C3D0"/>
          <w:insideV w:val="single" w:sz="4" w:color="B7C3D0"/>
        </w:tblBorders>
        <w:tblInd w:type="dxa" w:w="100"/>
      </w:tblPr>
      <w:tblGrid>
        <w:gridCol w:w="2140"/>
        <w:gridCol w:w="450"/>
        <w:gridCol w:w="1520"/>
        <w:gridCol w:w="1450"/>
        <w:gridCol w:w="1540"/>
        <w:gridCol w:w="1540"/>
        <w:gridCol w:w="760"/>
      </w:tblGrid>
      <w:tr>
        <w:trPr>
          <w:tblHeader w:val="true"/>
        </w:trPr>
        <w:tc>
          <w:tcPr>
            <w:tcW w:type="dxa" w:w="214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2"/>
              </w:rPr>
              <w:t>Condition</w:t>
            </w:r>
          </w:p>
        </w:tc>
        <w:tc>
          <w:tcPr>
            <w:tcW w:type="dxa" w:w="45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2"/>
              </w:rPr>
              <w:t>n</w:t>
            </w:r>
          </w:p>
        </w:tc>
        <w:tc>
          <w:tcPr>
            <w:tcW w:type="dxa" w:w="152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2"/>
              </w:rPr>
              <w:t>Completion delta</w:t>
              <w:br/>
              <w:t>pp [95% CI]</w:t>
            </w:r>
          </w:p>
        </w:tc>
        <w:tc>
          <w:tcPr>
            <w:tcW w:type="dxa" w:w="145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2"/>
              </w:rPr>
              <w:t>Energy delta Wh</w:t>
              <w:br/>
              <w:t>[95% CI]</w:t>
            </w:r>
          </w:p>
        </w:tc>
        <w:tc>
          <w:tcPr>
            <w:tcW w:type="dxa" w:w="154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2"/>
              </w:rPr>
              <w:t>Policy H_s delta</w:t>
              <w:br/>
              <w:t>[95% CI]</w:t>
            </w:r>
          </w:p>
        </w:tc>
        <w:tc>
          <w:tcPr>
            <w:tcW w:type="dxa" w:w="154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2"/>
              </w:rPr>
              <w:t>Access delta pp</w:t>
              <w:br/>
              <w:t>[95% CI]</w:t>
            </w:r>
          </w:p>
        </w:tc>
        <w:tc>
          <w:tcPr>
            <w:tcW w:type="dxa" w:w="76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2"/>
              </w:rPr>
              <w:t>Infeasible execution</w:t>
              <w:br/>
              <w:t>with shared guard ON %</w:t>
            </w:r>
          </w:p>
        </w:tc>
      </w:tr>
      <w:tr>
        <w:tc>
          <w:tcPr>
            <w:tcW w:type="dxa" w:w="21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2"/>
              </w:rPr>
              <w:t>Primary P90 (reference)</w:t>
            </w:r>
          </w:p>
        </w:tc>
        <w:tc>
          <w:tcPr>
            <w:tcW w:type="dxa" w:w="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60</w:t>
            </w:r>
          </w:p>
        </w:tc>
        <w:tc>
          <w:tcPr>
            <w:tcW w:type="dxa" w:w="15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4.8 [2.3, 7.2]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11.4 [8.6, 14.2]</w:t>
            </w:r>
          </w:p>
        </w:tc>
        <w:tc>
          <w:tcPr>
            <w:tcW w:type="dxa" w:w="15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-49.7 [-64.2, -35.1]</w:t>
            </w:r>
          </w:p>
        </w:tc>
        <w:tc>
          <w:tcPr>
            <w:tcW w:type="dxa" w:w="15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-45.4 [-48.8, -41.9]</w:t>
            </w:r>
          </w:p>
        </w:tc>
        <w:tc>
          <w:tcPr>
            <w:tcW w:type="dxa" w:w="7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0</w:t>
            </w:r>
          </w:p>
        </w:tc>
      </w:tr>
      <w:tr>
        <w:tc>
          <w:tcPr>
            <w:tcW w:type="dxa" w:w="21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Times New Roman" w:hAnsi="Times New Roman"/>
                <w:sz w:val="12"/>
              </w:rPr>
              <w:t>Weather P80 threshold</w:t>
            </w:r>
          </w:p>
        </w:tc>
        <w:tc>
          <w:tcPr>
            <w:tcW w:type="dxa" w:w="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20</w:t>
            </w:r>
          </w:p>
        </w:tc>
        <w:tc>
          <w:tcPr>
            <w:tcW w:type="dxa" w:w="15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6.1 [1.6, 10.6]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12.1 [6.3, 17.9]</w:t>
            </w:r>
          </w:p>
        </w:tc>
        <w:tc>
          <w:tcPr>
            <w:tcW w:type="dxa" w:w="15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-57.0 [-83.2, -30.8]</w:t>
            </w:r>
          </w:p>
        </w:tc>
        <w:tc>
          <w:tcPr>
            <w:tcW w:type="dxa" w:w="15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-46.7 [-53.9, -39.4]</w:t>
            </w:r>
          </w:p>
        </w:tc>
        <w:tc>
          <w:tcPr>
            <w:tcW w:type="dxa" w:w="7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0</w:t>
            </w:r>
          </w:p>
        </w:tc>
      </w:tr>
      <w:tr>
        <w:tc>
          <w:tcPr>
            <w:tcW w:type="dxa" w:w="21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2"/>
              </w:rPr>
              <w:t>Wind ordinary gate off</w:t>
            </w:r>
          </w:p>
        </w:tc>
        <w:tc>
          <w:tcPr>
            <w:tcW w:type="dxa" w:w="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20</w:t>
            </w:r>
          </w:p>
        </w:tc>
        <w:tc>
          <w:tcPr>
            <w:tcW w:type="dxa" w:w="15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3.0 [-2.5, 8.6]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11.8 [5.8, 17.9]</w:t>
            </w:r>
          </w:p>
        </w:tc>
        <w:tc>
          <w:tcPr>
            <w:tcW w:type="dxa" w:w="15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-45.0 [-67.6, -22.4]</w:t>
            </w:r>
          </w:p>
        </w:tc>
        <w:tc>
          <w:tcPr>
            <w:tcW w:type="dxa" w:w="15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-56.0 [-60.3, -51.8]</w:t>
            </w:r>
          </w:p>
        </w:tc>
        <w:tc>
          <w:tcPr>
            <w:tcW w:type="dxa" w:w="7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0</w:t>
            </w:r>
          </w:p>
        </w:tc>
      </w:tr>
      <w:tr>
        <w:tc>
          <w:tcPr>
            <w:tcW w:type="dxa" w:w="21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Times New Roman" w:hAnsi="Times New Roman"/>
                <w:sz w:val="12"/>
              </w:rPr>
              <w:t>Low-SoC ordinary gate off</w:t>
            </w:r>
          </w:p>
        </w:tc>
        <w:tc>
          <w:tcPr>
            <w:tcW w:type="dxa" w:w="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20</w:t>
            </w:r>
          </w:p>
        </w:tc>
        <w:tc>
          <w:tcPr>
            <w:tcW w:type="dxa" w:w="15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5.9 [0.9, 10.9]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11.1 [7.1, 15.2]</w:t>
            </w:r>
          </w:p>
        </w:tc>
        <w:tc>
          <w:tcPr>
            <w:tcW w:type="dxa" w:w="15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-43.5 [-62.1, -24.9]</w:t>
            </w:r>
          </w:p>
        </w:tc>
        <w:tc>
          <w:tcPr>
            <w:tcW w:type="dxa" w:w="15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-56.0 [-60.0, -52.0]</w:t>
            </w:r>
          </w:p>
        </w:tc>
        <w:tc>
          <w:tcPr>
            <w:tcW w:type="dxa" w:w="7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0</w:t>
            </w:r>
          </w:p>
        </w:tc>
      </w:tr>
      <w:tr>
        <w:tc>
          <w:tcPr>
            <w:tcW w:type="dxa" w:w="21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2"/>
              </w:rPr>
              <w:t>PlanChangeScale = 5</w:t>
            </w:r>
          </w:p>
        </w:tc>
        <w:tc>
          <w:tcPr>
            <w:tcW w:type="dxa" w:w="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20</w:t>
            </w:r>
          </w:p>
        </w:tc>
        <w:tc>
          <w:tcPr>
            <w:tcW w:type="dxa" w:w="15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7.1 [0.8, 13.4]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10.0 [6.1, 13.8]</w:t>
            </w:r>
          </w:p>
        </w:tc>
        <w:tc>
          <w:tcPr>
            <w:tcW w:type="dxa" w:w="15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-32.8 [-44.2, -21.3]</w:t>
            </w:r>
          </w:p>
        </w:tc>
        <w:tc>
          <w:tcPr>
            <w:tcW w:type="dxa" w:w="15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-42.9 [-49.3, -36.6]</w:t>
            </w:r>
          </w:p>
        </w:tc>
        <w:tc>
          <w:tcPr>
            <w:tcW w:type="dxa" w:w="7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0</w:t>
            </w:r>
          </w:p>
        </w:tc>
      </w:tr>
      <w:tr>
        <w:tc>
          <w:tcPr>
            <w:tcW w:type="dxa" w:w="21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Times New Roman" w:hAnsi="Times New Roman"/>
                <w:sz w:val="12"/>
              </w:rPr>
              <w:t>PlanChangeScale = 20</w:t>
            </w:r>
          </w:p>
        </w:tc>
        <w:tc>
          <w:tcPr>
            <w:tcW w:type="dxa" w:w="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20</w:t>
            </w:r>
          </w:p>
        </w:tc>
        <w:tc>
          <w:tcPr>
            <w:tcW w:type="dxa" w:w="15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10.3 [5.5, 15.1]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10.6 [6.4, 14.8]</w:t>
            </w:r>
          </w:p>
        </w:tc>
        <w:tc>
          <w:tcPr>
            <w:tcW w:type="dxa" w:w="15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-105.0 [-167.8, -42.2]</w:t>
            </w:r>
          </w:p>
        </w:tc>
        <w:tc>
          <w:tcPr>
            <w:tcW w:type="dxa" w:w="15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-45.9 [-53.2, -38.6]</w:t>
            </w:r>
          </w:p>
        </w:tc>
        <w:tc>
          <w:tcPr>
            <w:tcW w:type="dxa" w:w="7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0</w:t>
            </w:r>
          </w:p>
        </w:tc>
      </w:tr>
      <w:tr>
        <w:tc>
          <w:tcPr>
            <w:tcW w:type="dxa" w:w="21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2"/>
              </w:rPr>
              <w:t>Window H = 2</w:t>
            </w:r>
          </w:p>
        </w:tc>
        <w:tc>
          <w:tcPr>
            <w:tcW w:type="dxa" w:w="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20</w:t>
            </w:r>
          </w:p>
        </w:tc>
        <w:tc>
          <w:tcPr>
            <w:tcW w:type="dxa" w:w="15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2.0 [-4.3, 8.4]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4.7 [2.1, 7.3]</w:t>
            </w:r>
          </w:p>
        </w:tc>
        <w:tc>
          <w:tcPr>
            <w:tcW w:type="dxa" w:w="15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-5.5 [-17.2, 6.2]</w:t>
            </w:r>
          </w:p>
        </w:tc>
        <w:tc>
          <w:tcPr>
            <w:tcW w:type="dxa" w:w="15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-36.9 [-41.3, -32.6]</w:t>
            </w:r>
          </w:p>
        </w:tc>
        <w:tc>
          <w:tcPr>
            <w:tcW w:type="dxa" w:w="7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0</w:t>
            </w:r>
          </w:p>
        </w:tc>
      </w:tr>
      <w:tr>
        <w:tc>
          <w:tcPr>
            <w:tcW w:type="dxa" w:w="21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Times New Roman" w:hAnsi="Times New Roman"/>
                <w:sz w:val="12"/>
              </w:rPr>
              <w:t>Window H = 3</w:t>
            </w:r>
          </w:p>
        </w:tc>
        <w:tc>
          <w:tcPr>
            <w:tcW w:type="dxa" w:w="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20</w:t>
            </w:r>
          </w:p>
        </w:tc>
        <w:tc>
          <w:tcPr>
            <w:tcW w:type="dxa" w:w="15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6.2 [2.3, 10.1]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8.3 [4.4, 12.1]</w:t>
            </w:r>
          </w:p>
        </w:tc>
        <w:tc>
          <w:tcPr>
            <w:tcW w:type="dxa" w:w="15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-27.5 [-42.4, -12.6]</w:t>
            </w:r>
          </w:p>
        </w:tc>
        <w:tc>
          <w:tcPr>
            <w:tcW w:type="dxa" w:w="15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-42.8 [-48.2, -37.4]</w:t>
            </w:r>
          </w:p>
        </w:tc>
        <w:tc>
          <w:tcPr>
            <w:tcW w:type="dxa" w:w="7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0</w:t>
            </w:r>
          </w:p>
        </w:tc>
      </w:tr>
      <w:tr>
        <w:tc>
          <w:tcPr>
            <w:tcW w:type="dxa" w:w="21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2"/>
              </w:rPr>
              <w:t>Window H = 4</w:t>
            </w:r>
          </w:p>
        </w:tc>
        <w:tc>
          <w:tcPr>
            <w:tcW w:type="dxa" w:w="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20</w:t>
            </w:r>
          </w:p>
        </w:tc>
        <w:tc>
          <w:tcPr>
            <w:tcW w:type="dxa" w:w="15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11.8 [7.2, 16.4]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9.3 [4.8, 13.9]</w:t>
            </w:r>
          </w:p>
        </w:tc>
        <w:tc>
          <w:tcPr>
            <w:tcW w:type="dxa" w:w="15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-83.0 [-108.4, -57.6]</w:t>
            </w:r>
          </w:p>
        </w:tc>
        <w:tc>
          <w:tcPr>
            <w:tcW w:type="dxa" w:w="15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-49.6 [-56.8, -42.4]</w:t>
            </w:r>
          </w:p>
        </w:tc>
        <w:tc>
          <w:tcPr>
            <w:tcW w:type="dxa" w:w="7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0</w:t>
            </w:r>
          </w:p>
        </w:tc>
      </w:tr>
    </w:tbl>
    <w:p>
      <w:pPr>
        <w:spacing w:before="120" w:after="60"/>
      </w:pPr>
      <w:r>
        <w:rPr>
          <w:b/>
          <w:color w:val="1F4E79"/>
          <w:sz w:val="17"/>
        </w:rPr>
        <w:t>Panel B. Adaptive inertia sensitivity: ET adaptive minus ET fixed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B7C3D0"/>
          <w:insideV w:val="single" w:sz="4" w:color="B7C3D0"/>
        </w:tblBorders>
        <w:tblInd w:type="dxa" w:w="100"/>
      </w:tblPr>
      <w:tblGrid>
        <w:gridCol w:w="3060"/>
        <w:gridCol w:w="480"/>
        <w:gridCol w:w="1740"/>
        <w:gridCol w:w="1740"/>
        <w:gridCol w:w="1740"/>
        <w:gridCol w:w="600"/>
      </w:tblGrid>
      <w:tr>
        <w:trPr>
          <w:tblHeader w:val="true"/>
        </w:trPr>
        <w:tc>
          <w:tcPr>
            <w:tcW w:type="dxa" w:w="306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2"/>
              </w:rPr>
              <w:t>Inertia range</w:t>
            </w:r>
          </w:p>
        </w:tc>
        <w:tc>
          <w:tcPr>
            <w:tcW w:type="dxa" w:w="48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2"/>
              </w:rPr>
              <w:t>n</w:t>
            </w:r>
          </w:p>
        </w:tc>
        <w:tc>
          <w:tcPr>
            <w:tcW w:type="dxa" w:w="174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2"/>
              </w:rPr>
              <w:t>VIP delta pp</w:t>
              <w:br/>
              <w:t>[95% CI]</w:t>
            </w:r>
          </w:p>
        </w:tc>
        <w:tc>
          <w:tcPr>
            <w:tcW w:type="dxa" w:w="174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2"/>
              </w:rPr>
              <w:t>Completion delta pp</w:t>
              <w:br/>
              <w:t>[95% CI]</w:t>
            </w:r>
          </w:p>
        </w:tc>
        <w:tc>
          <w:tcPr>
            <w:tcW w:type="dxa" w:w="174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2"/>
              </w:rPr>
              <w:t>Policy H_s delta</w:t>
              <w:br/>
              <w:t>[95% CI]</w:t>
            </w:r>
          </w:p>
        </w:tc>
        <w:tc>
          <w:tcPr>
            <w:tcW w:type="dxa" w:w="60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2"/>
              </w:rPr>
              <w:t>Infeasible execution</w:t>
              <w:br/>
              <w:t>with shared guard ON %</w:t>
            </w:r>
          </w:p>
        </w:tc>
      </w:tr>
      <w:tr>
        <w:tc>
          <w:tcPr>
            <w:tcW w:type="dxa" w:w="30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2"/>
              </w:rPr>
              <w:t>Low inertia: fixed 10; adaptive [10,20]</w:t>
            </w:r>
          </w:p>
        </w:tc>
        <w:tc>
          <w:tcPr>
            <w:tcW w:type="dxa" w:w="4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20</w:t>
            </w:r>
          </w:p>
        </w:tc>
        <w:tc>
          <w:tcPr>
            <w:tcW w:type="dxa" w:w="17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-1.2 [-3.9, 1.4]</w:t>
            </w:r>
          </w:p>
        </w:tc>
        <w:tc>
          <w:tcPr>
            <w:tcW w:type="dxa" w:w="17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-0.4 [-1.1, 0.4]</w:t>
            </w:r>
          </w:p>
        </w:tc>
        <w:tc>
          <w:tcPr>
            <w:tcW w:type="dxa" w:w="17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1.5 [-1.6, 4.6]</w:t>
            </w:r>
          </w:p>
        </w:tc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0</w:t>
            </w:r>
          </w:p>
        </w:tc>
      </w:tr>
      <w:tr>
        <w:tc>
          <w:tcPr>
            <w:tcW w:type="dxa" w:w="30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Times New Roman" w:hAnsi="Times New Roman"/>
                <w:sz w:val="12"/>
              </w:rPr>
              <w:t>Frozen: fixed 20; adaptive [10,50]</w:t>
            </w:r>
          </w:p>
        </w:tc>
        <w:tc>
          <w:tcPr>
            <w:tcW w:type="dxa" w:w="4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20</w:t>
            </w:r>
          </w:p>
        </w:tc>
        <w:tc>
          <w:tcPr>
            <w:tcW w:type="dxa" w:w="17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0.0 [0.0, 0.0]</w:t>
            </w:r>
          </w:p>
        </w:tc>
        <w:tc>
          <w:tcPr>
            <w:tcW w:type="dxa" w:w="17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1.1 [-2.4, 4.5]</w:t>
            </w:r>
          </w:p>
        </w:tc>
        <w:tc>
          <w:tcPr>
            <w:tcW w:type="dxa" w:w="17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0.0 [-9.4, 9.4]</w:t>
            </w:r>
          </w:p>
        </w:tc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0</w:t>
            </w:r>
          </w:p>
        </w:tc>
      </w:tr>
      <w:tr>
        <w:tc>
          <w:tcPr>
            <w:tcW w:type="dxa" w:w="30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2"/>
              </w:rPr>
              <w:t>High inertia: fixed 50; adaptive [25,50]</w:t>
            </w:r>
          </w:p>
        </w:tc>
        <w:tc>
          <w:tcPr>
            <w:tcW w:type="dxa" w:w="4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20</w:t>
            </w:r>
          </w:p>
        </w:tc>
        <w:tc>
          <w:tcPr>
            <w:tcW w:type="dxa" w:w="17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-5.4 [-16.8, 5.9]</w:t>
            </w:r>
          </w:p>
        </w:tc>
        <w:tc>
          <w:tcPr>
            <w:tcW w:type="dxa" w:w="17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2.6 [-2.5, 7.7]</w:t>
            </w:r>
          </w:p>
        </w:tc>
        <w:tc>
          <w:tcPr>
            <w:tcW w:type="dxa" w:w="174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5.5 [-9.3, 20.3]</w:t>
            </w:r>
          </w:p>
        </w:tc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2"/>
              </w:rPr>
              <w:t>0</w:t>
            </w:r>
          </w:p>
        </w:tc>
      </w:tr>
    </w:tbl>
    <w:p>
      <w:pPr>
        <w:spacing w:before="120" w:after="60"/>
      </w:pPr>
      <w:r>
        <w:rPr>
          <w:b/>
          <w:color w:val="1F4E79"/>
          <w:sz w:val="17"/>
        </w:rPr>
        <w:t>Panel C. Paired safety-guard ablation</w:t>
      </w: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B7C3D0"/>
          <w:insideV w:val="single" w:sz="4" w:color="B7C3D0"/>
        </w:tblBorders>
        <w:tblInd w:type="dxa" w:w="100"/>
      </w:tblPr>
      <w:tblGrid>
        <w:gridCol w:w="1800"/>
        <w:gridCol w:w="600"/>
        <w:gridCol w:w="1400"/>
        <w:gridCol w:w="1400"/>
        <w:gridCol w:w="2100"/>
        <w:gridCol w:w="2200"/>
      </w:tblGrid>
      <w:tr>
        <w:trPr>
          <w:tblHeader w:val="true"/>
        </w:trPr>
        <w:tc>
          <w:tcPr>
            <w:tcW w:type="dxa" w:w="180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Policy</w:t>
            </w:r>
          </w:p>
        </w:tc>
        <w:tc>
          <w:tcPr>
            <w:tcW w:type="dxa" w:w="60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n</w:t>
            </w:r>
          </w:p>
        </w:tc>
        <w:tc>
          <w:tcPr>
            <w:tcW w:type="dxa" w:w="140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Guard on unsafe</w:t>
              <w:br/>
              <w:t>%</w:t>
            </w:r>
          </w:p>
        </w:tc>
        <w:tc>
          <w:tcPr>
            <w:tcW w:type="dxa" w:w="140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Guard off unsafe</w:t>
              <w:br/>
              <w:t>%</w:t>
            </w:r>
          </w:p>
        </w:tc>
        <w:tc>
          <w:tcPr>
            <w:tcW w:type="dxa" w:w="210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Off - on unsafe pp</w:t>
              <w:br/>
              <w:t>[95% CI]</w:t>
            </w:r>
          </w:p>
        </w:tc>
        <w:tc>
          <w:tcPr>
            <w:tcW w:type="dxa" w:w="220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4"/>
              </w:rPr>
              <w:t>Guard-on P95 release time s</w:t>
              <w:br/>
              <w:t>[95% CI]</w:t>
            </w:r>
          </w:p>
        </w:tc>
      </w:tr>
      <w:tr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ETFixed</w:t>
            </w:r>
          </w:p>
        </w:tc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</w:t>
            </w:r>
          </w:p>
        </w:tc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4.5</w:t>
            </w:r>
          </w:p>
        </w:tc>
        <w:tc>
          <w:tcPr>
            <w:tcW w:type="dxa" w:w="2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4.5 [0.3, 8.8]</w:t>
            </w:r>
          </w:p>
        </w:tc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0.176 [0.166, 0.185]</w:t>
            </w:r>
          </w:p>
        </w:tc>
      </w:tr>
      <w:tr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left"/>
            </w:pPr>
            <w:r>
              <w:rPr>
                <w:rFonts w:ascii="Times New Roman" w:hAnsi="Times New Roman"/>
                <w:sz w:val="14"/>
              </w:rPr>
              <w:t>ETAdaptive</w:t>
            </w:r>
          </w:p>
        </w:tc>
        <w:tc>
          <w:tcPr>
            <w:tcW w:type="dxa" w:w="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0.0</w:t>
            </w:r>
          </w:p>
        </w:tc>
        <w:tc>
          <w:tcPr>
            <w:tcW w:type="dxa" w:w="14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1.7</w:t>
            </w:r>
          </w:p>
        </w:tc>
        <w:tc>
          <w:tcPr>
            <w:tcW w:type="dxa" w:w="21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1.7 [-0.0, 3.5]</w:t>
            </w:r>
          </w:p>
        </w:tc>
        <w:tc>
          <w:tcPr>
            <w:tcW w:type="dxa" w:w="22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7F9FB"/>
          </w:tcPr>
          <w:p>
            <w:pPr>
              <w:jc w:val="center"/>
            </w:pPr>
            <w:r>
              <w:rPr>
                <w:rFonts w:ascii="Times New Roman" w:hAnsi="Times New Roman"/>
                <w:sz w:val="14"/>
              </w:rPr>
              <w:t>0.174 [0.165, 0.183]</w:t>
            </w:r>
          </w:p>
        </w:tc>
      </w:tr>
    </w:tbl>
    <w:p>
      <w:pPr>
        <w:spacing w:before="60" w:after="0"/>
      </w:pPr>
      <w:r>
        <w:rPr>
          <w:b/>
          <w:sz w:val="14"/>
        </w:rPr>
        <w:t xml:space="preserve">Note. </w:t>
      </w:r>
      <w:r>
        <w:rPr>
          <w:i/>
          <w:sz w:val="14"/>
        </w:rPr>
        <w:t>Panel A reports ET fixed minus Always fixed. Panel B does not show a stable adaptive advantage in any tested inertia range. All intervals are scenario-level paired Student-t 95% confidence intervals. Boundary and ablation analyses use 20 shared replications and are not used to reselect the primary policy.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