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/>
          <w:b/>
          <w:color w:val="1F2937"/>
          <w:sz w:val="21"/>
        </w:rPr>
        <w:t>Table 4. Fleet-Size Boundary and Descriptive Input Heterogeneity</w:t>
      </w:r>
    </w:p>
    <w:p>
      <w:pPr>
        <w:spacing w:after="60"/>
      </w:pPr>
      <w:r>
        <w:rPr>
          <w:b/>
          <w:color w:val="1F4E79"/>
          <w:sz w:val="17"/>
        </w:rPr>
        <w:t>Panel A. Fleet-size boundary: ET fixed minus Always fixed</w:t>
      </w:r>
    </w:p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  <w:tblInd w:type="dxa" w:w="100"/>
      </w:tblPr>
      <w:tblGrid>
        <w:gridCol w:w="470"/>
        <w:gridCol w:w="470"/>
        <w:gridCol w:w="1450"/>
        <w:gridCol w:w="1580"/>
        <w:gridCol w:w="1450"/>
        <w:gridCol w:w="1500"/>
        <w:gridCol w:w="1500"/>
        <w:gridCol w:w="700"/>
      </w:tblGrid>
      <w:tr>
        <w:trPr>
          <w:tblHeader w:val="true"/>
        </w:trPr>
        <w:tc>
          <w:tcPr>
            <w:tcW w:type="dxa" w:w="47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D</w:t>
            </w:r>
          </w:p>
        </w:tc>
        <w:tc>
          <w:tcPr>
            <w:tcW w:type="dxa" w:w="47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n</w:t>
            </w:r>
          </w:p>
        </w:tc>
        <w:tc>
          <w:tcPr>
            <w:tcW w:type="dxa" w:w="145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VIP delta pp</w:t>
              <w:br/>
              <w:t>[95% CI]</w:t>
            </w:r>
          </w:p>
        </w:tc>
        <w:tc>
          <w:tcPr>
            <w:tcW w:type="dxa" w:w="158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Completion delta pp</w:t>
              <w:br/>
              <w:t>[95% CI]</w:t>
            </w:r>
          </w:p>
        </w:tc>
        <w:tc>
          <w:tcPr>
            <w:tcW w:type="dxa" w:w="145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Energy delta Wh</w:t>
              <w:br/>
              <w:t>[95% CI]</w:t>
            </w:r>
          </w:p>
        </w:tc>
        <w:tc>
          <w:tcPr>
            <w:tcW w:type="dxa" w:w="15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Policy H_s delta</w:t>
              <w:br/>
              <w:t>[95% CI]</w:t>
            </w:r>
          </w:p>
        </w:tc>
        <w:tc>
          <w:tcPr>
            <w:tcW w:type="dxa" w:w="15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Access delta pp</w:t>
              <w:br/>
              <w:t>[95% CI]</w:t>
            </w:r>
          </w:p>
        </w:tc>
        <w:tc>
          <w:tcPr>
            <w:tcW w:type="dxa" w:w="7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Infeasible execution</w:t>
              <w:br/>
              <w:t>with shared guard ON %</w:t>
            </w:r>
          </w:p>
        </w:tc>
      </w:tr>
      <w:tr>
        <w:tc>
          <w:tcPr>
            <w:tcW w:type="dxa" w:w="4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2</w:t>
            </w:r>
          </w:p>
        </w:tc>
        <w:tc>
          <w:tcPr>
            <w:tcW w:type="dxa" w:w="4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60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11.3 [3.0, 19.6]</w:t>
            </w:r>
          </w:p>
        </w:tc>
        <w:tc>
          <w:tcPr>
            <w:tcW w:type="dxa" w:w="15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5.6 [3.9, 7.4]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10.3 [6.5, 14.2]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-44.5 [-57.7, -31.3]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-44.9 [-48.1, -41.7]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4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3</w:t>
            </w:r>
          </w:p>
        </w:tc>
        <w:tc>
          <w:tcPr>
            <w:tcW w:type="dxa" w:w="4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60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11.4 [2.2, 20.6]</w:t>
            </w:r>
          </w:p>
        </w:tc>
        <w:tc>
          <w:tcPr>
            <w:tcW w:type="dxa" w:w="15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5.7 [4.1, 7.3]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12.2 [8.2, 16.1]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-44.7 [-58.9, -30.4]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-44.8 [-48.2, -41.4]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4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4</w:t>
            </w:r>
          </w:p>
        </w:tc>
        <w:tc>
          <w:tcPr>
            <w:tcW w:type="dxa" w:w="4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60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11.9 [3.1, 20.6]</w:t>
            </w:r>
          </w:p>
        </w:tc>
        <w:tc>
          <w:tcPr>
            <w:tcW w:type="dxa" w:w="15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5.9 [4.0, 7.8]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12.8 [8.8, 16.7]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-48.2 [-63.3, -33.1]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-44.0 [-47.8, -40.3]</w:t>
            </w:r>
          </w:p>
        </w:tc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</w:tbl>
    <w:p>
      <w:pPr>
        <w:spacing w:before="120" w:after="60"/>
      </w:pPr>
      <w:r>
        <w:rPr>
          <w:b/>
          <w:color w:val="1F4E79"/>
          <w:sz w:val="17"/>
        </w:rPr>
        <w:t>Panel B. ET-fixed role utilisation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  <w:tblInd w:type="dxa" w:w="100"/>
      </w:tblPr>
      <w:tblGrid>
        <w:gridCol w:w="1600"/>
        <w:gridCol w:w="3100"/>
        <w:gridCol w:w="4660"/>
      </w:tblGrid>
      <w:tr>
        <w:trPr>
          <w:tblHeader w:val="true"/>
        </w:trPr>
        <w:tc>
          <w:tcPr>
            <w:tcW w:type="dxa" w:w="16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Fleet size D</w:t>
            </w:r>
          </w:p>
        </w:tc>
        <w:tc>
          <w:tcPr>
            <w:tcW w:type="dxa" w:w="31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UAV role</w:t>
            </w:r>
          </w:p>
        </w:tc>
        <w:tc>
          <w:tcPr>
            <w:tcW w:type="dxa" w:w="466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Executed sorties per episode [95% CI]</w:t>
            </w:r>
          </w:p>
        </w:tc>
      </w:tr>
      <w:tr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3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UAV 1: capacity support</w:t>
            </w:r>
          </w:p>
        </w:tc>
        <w:tc>
          <w:tcPr>
            <w:tcW w:type="dxa" w:w="4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3.55 [2.82, 4.28]</w:t>
            </w:r>
          </w:p>
        </w:tc>
      </w:tr>
      <w:tr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3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UAV 2: priority service</w:t>
            </w:r>
          </w:p>
        </w:tc>
        <w:tc>
          <w:tcPr>
            <w:tcW w:type="dxa" w:w="4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12.83 [11.50, 14.17]</w:t>
            </w:r>
          </w:p>
        </w:tc>
      </w:tr>
      <w:tr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3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UAV 1: capacity support</w:t>
            </w:r>
          </w:p>
        </w:tc>
        <w:tc>
          <w:tcPr>
            <w:tcW w:type="dxa" w:w="4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3.63 [2.89, 4.37]</w:t>
            </w:r>
          </w:p>
        </w:tc>
      </w:tr>
      <w:tr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3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UAV 2: priority service</w:t>
            </w:r>
          </w:p>
        </w:tc>
        <w:tc>
          <w:tcPr>
            <w:tcW w:type="dxa" w:w="4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12.57 [11.27, 13.86]</w:t>
            </w:r>
          </w:p>
        </w:tc>
      </w:tr>
      <w:tr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3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UAV 3: contingency reserve</w:t>
            </w:r>
          </w:p>
        </w:tc>
        <w:tc>
          <w:tcPr>
            <w:tcW w:type="dxa" w:w="4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0.25 [0.12, 0.38]</w:t>
            </w:r>
          </w:p>
        </w:tc>
      </w:tr>
      <w:tr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3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UAV 1: capacity support</w:t>
            </w:r>
          </w:p>
        </w:tc>
        <w:tc>
          <w:tcPr>
            <w:tcW w:type="dxa" w:w="4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2.87 [2.29, 3.45]</w:t>
            </w:r>
          </w:p>
        </w:tc>
      </w:tr>
      <w:tr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3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UAV 2: priority service</w:t>
            </w:r>
          </w:p>
        </w:tc>
        <w:tc>
          <w:tcPr>
            <w:tcW w:type="dxa" w:w="4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11.92 [10.69, 13.15]</w:t>
            </w:r>
          </w:p>
        </w:tc>
      </w:tr>
      <w:tr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3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UAV 3: contingency reserve</w:t>
            </w:r>
          </w:p>
        </w:tc>
        <w:tc>
          <w:tcPr>
            <w:tcW w:type="dxa" w:w="4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0.18 [0.06, 0.30]</w:t>
            </w:r>
          </w:p>
        </w:tc>
      </w:tr>
      <w:tr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3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UAV 4: capacity support</w:t>
            </w:r>
          </w:p>
        </w:tc>
        <w:tc>
          <w:tcPr>
            <w:tcW w:type="dxa" w:w="4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1.38 [1.00, 1.77]</w:t>
            </w:r>
          </w:p>
        </w:tc>
      </w:tr>
    </w:tbl>
    <w:p>
      <w:pPr>
        <w:spacing w:before="60" w:after="0"/>
      </w:pPr>
      <w:r>
        <w:rPr>
          <w:b/>
          <w:sz w:val="14"/>
        </w:rPr>
        <w:t xml:space="preserve">Note. </w:t>
      </w:r>
      <w:r>
        <w:rPr>
          <w:i/>
          <w:sz w:val="14"/>
        </w:rPr>
        <w:t>Detailed outcome-blind input heterogeneity is reported separately as Appendix Table A6 so that this main-text table retains one message: fleet-size boundary and role use.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