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a7c59" w:sz="24" w:space="0"/>
        </w:pBdr>
        <w:spacing w:before="0" w:after="20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pStyle w:val="Heading1"/>
        <w:spacing w:before="0" w:after="80"/>
      </w:pPr>
      <w:r>
        <w:rPr>
          <w:rFonts w:ascii="Calibri" w:cs="Calibri" w:eastAsia="Calibri" w:hAnsi="Calibri"/>
          <w:b/>
          <w:bCs/>
          <w:color w:val="4a7c59"/>
          <w:sz w:val="52"/>
          <w:szCs w:val="52"/>
        </w:rPr>
        <w:t xml:space="preserve">Bloom Garden</w:t>
      </w:r>
      <w:r>
        <w:rPr>
          <w:rFonts w:ascii="Calibri" w:cs="Calibri" w:eastAsia="Calibri" w:hAnsi="Calibri"/>
          <w:b w:val="false"/>
          <w:bCs w:val="false"/>
          <w:color w:val="2d3b2e"/>
          <w:sz w:val="32"/>
          <w:szCs w:val="32"/>
        </w:rPr>
        <w:t xml:space="preserve">  —  Founding Clinical Partner Invitation</w:t>
      </w:r>
    </w:p>
    <w:p>
      <w:pPr>
        <w:spacing w:before="0" w:after="320"/>
      </w:pPr>
      <w:r>
        <w:rPr>
          <w:rFonts w:ascii="Calibri" w:cs="Calibri" w:eastAsia="Calibri" w:hAnsi="Calibri"/>
          <w:i/>
          <w:iCs/>
          <w:color w:val="6b4f3a"/>
          <w:sz w:val="20"/>
          <w:szCs w:val="20"/>
        </w:rPr>
        <w:t xml:space="preserve">A clinical collaboration proposal for pediatric occupational therapists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a7c59"/>
          <w:sz w:val="24"/>
          <w:szCs w:val="24"/>
        </w:rPr>
        <w:t xml:space="preserve">What We Are Building</w:t>
      </w:r>
    </w:p>
    <w:p>
      <w:pPr>
        <w:spacing w:before="0" w:after="120"/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Bloom Garden is a HIPAA-compliant emotional regulation platform for autistic children ages 4–12 — connecting them, their parents, and their occupational therapists as a continuous care system. It is built by a parent of two neurodivergent children, with occupational therapy as the clinical foundation.</w:t>
      </w:r>
    </w:p>
    <w:p>
      <w:pPr>
        <w:spacing w:before="0" w:after="280"/>
      </w:pPr>
      <w:r>
        <w:rPr>
          <w:rFonts w:ascii="Calibri" w:cs="Calibri" w:eastAsia="Calibri" w:hAnsi="Calibri"/>
          <w:i/>
          <w:iCs/>
          <w:color w:val="6b4f3a"/>
          <w:sz w:val="22"/>
          <w:szCs w:val="22"/>
        </w:rPr>
        <w:t xml:space="preserve">The governing principle: “We help children. We do not seek validation for ourselves.” Everything in this product — every design decision, every mechanic, every data point — exists to serve the child.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a7c59"/>
          <w:sz w:val="24"/>
          <w:szCs w:val="24"/>
        </w:rPr>
        <w:t xml:space="preserve">Why We Are Coming To You First</w:t>
      </w:r>
    </w:p>
    <w:p>
      <w:pPr>
        <w:spacing w:before="0" w:after="100"/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We built the clinical governance before we wrote a single line of code. Every mechanic in Bloom Garden must pass through two gates before it ships: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Phase 1 (Research Gate): Peer-reviewed evidence confirmed before any mechanic enters the spec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Phase 2 (Clinical Gate): An OT observes the mechanic with a real child before it is approved to ship</w:t>
      </w:r>
    </w:p>
    <w:p>
      <w:pPr>
        <w:spacing w:before="0" w:after="280"/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Founding clinical partners are not reviewers. They are co-builders. Your observation is the gate that determines what gets built — before it is built at scale.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a7c59"/>
          <w:sz w:val="24"/>
          <w:szCs w:val="24"/>
        </w:rPr>
        <w:t xml:space="preserve">What We Are Asking</w:t>
      </w:r>
    </w:p>
    <w:p>
      <w:pPr>
        <w:spacing w:before="0" w:after="100"/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The minimum commitment is approximately two hours: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32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b2e"/>
                <w:sz w:val="20"/>
                <w:szCs w:val="20"/>
              </w:rPr>
              <w:t xml:space="preserve">Activity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3b2e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4f3a"/>
                <w:sz w:val="20"/>
                <w:szCs w:val="20"/>
              </w:rPr>
              <w:t xml:space="preserve">Read four clinical evidence briefs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4f3a"/>
                <w:sz w:val="20"/>
                <w:szCs w:val="20"/>
              </w:rPr>
              <w:t xml:space="preserve">~30 minutes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4f3a"/>
                <w:sz w:val="20"/>
                <w:szCs w:val="20"/>
              </w:rPr>
              <w:t xml:space="preserve">Observe one child using the prototype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4f3a"/>
                <w:sz w:val="20"/>
                <w:szCs w:val="20"/>
              </w:rPr>
              <w:t xml:space="preserve">Up to 60 minutes (child-led)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4f3a"/>
                <w:sz w:val="20"/>
                <w:szCs w:val="20"/>
              </w:rPr>
              <w:t xml:space="preserve">Debrief conversation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b4f3a"/>
                <w:sz w:val="20"/>
                <w:szCs w:val="20"/>
              </w:rPr>
              <w:t xml:space="preserve">~30 minutes</w:t>
            </w:r>
          </w:p>
        </w:tc>
      </w:tr>
    </w:tbl>
    <w:p>
      <w:pPr>
        <w:spacing w:before="140" w:after="80"/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If you choose to continue beyond this initial commitment, there are two optional paths: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Bi-weekly feedback sessions during the closed pilot phase</w:t>
      </w:r>
    </w:p>
    <w:p>
      <w:pPr>
        <w:pStyle w:val="ListParagraph"/>
        <w:numPr>
          <w:ilvl w:val="0"/>
          <w:numId w:val="2"/>
        </w:numPr>
        <w:spacing w:after="280"/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Co-authorship of the clinical exercise library (credited in the product)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a7c59"/>
          <w:sz w:val="24"/>
          <w:szCs w:val="24"/>
        </w:rPr>
        <w:t xml:space="preserve">What You Receive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Permanent free access to Bloom Garden for your practice — all subscription tiers, for as long as the product exists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Named founding clinical partner credit in the product and knowledge base — your clinical input is documented as part of the product’s history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Co-authorship credit on any published exercise library materials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First visibility into the product before any public launch</w:t>
      </w:r>
    </w:p>
    <w:p>
      <w:pPr>
        <w:pStyle w:val="ListParagraph"/>
        <w:numPr>
          <w:ilvl w:val="0"/>
          <w:numId w:val="2"/>
        </w:numPr>
        <w:spacing w:after="280"/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The ability to shape the tool your patients will use — before it is finished, not after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a7c59"/>
          <w:sz w:val="24"/>
          <w:szCs w:val="24"/>
        </w:rPr>
        <w:t xml:space="preserve">What We Will Not Ask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No public endorsement or promotion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No validation of clinical claims we have not earned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No time beyond what is described above unless you choose to continue</w:t>
      </w:r>
    </w:p>
    <w:p>
      <w:pPr>
        <w:pStyle w:val="ListParagraph"/>
        <w:numPr>
          <w:ilvl w:val="0"/>
          <w:numId w:val="2"/>
        </w:numPr>
        <w:spacing w:after="280"/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No compromise of your clinical judgment — you may observe a mechanic and determine it is contraindicated. That is the right outcome if it is true.</w:t>
      </w:r>
    </w:p>
    <w:p>
      <w:pPr>
        <w:pStyle w:val="Heading2"/>
      </w:pPr>
      <w:r>
        <w:rPr>
          <w:rFonts w:ascii="Calibri" w:cs="Calibri" w:eastAsia="Calibri" w:hAnsi="Calibri"/>
          <w:b/>
          <w:bCs/>
          <w:color w:val="4a7c59"/>
          <w:sz w:val="24"/>
          <w:szCs w:val="24"/>
        </w:rPr>
        <w:t xml:space="preserve">The Clinical Evidence Basis</w:t>
      </w:r>
    </w:p>
    <w:p>
      <w:pPr>
        <w:spacing w:before="0" w:after="100"/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The four mechanics in this prototype each have a documented evidence base: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2d3b2e"/>
          <w:sz w:val="22"/>
          <w:szCs w:val="22"/>
        </w:rPr>
        <w:t xml:space="preserve">Co-regulation theory</w:t>
      </w:r>
      <w:r>
        <w:rPr>
          <w:rFonts w:ascii="Calibri" w:cs="Calibri" w:eastAsia="Calibri" w:hAnsi="Calibri"/>
          <w:color w:val="6b4f3a"/>
          <w:sz w:val="22"/>
          <w:szCs w:val="22"/>
        </w:rPr>
        <w:t xml:space="preserve"> — companion-based regulation support (CEB-001)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2d3b2e"/>
          <w:sz w:val="22"/>
          <w:szCs w:val="22"/>
        </w:rPr>
        <w:t xml:space="preserve">Projective play</w:t>
      </w:r>
      <w:r>
        <w:rPr>
          <w:rFonts w:ascii="Calibri" w:cs="Calibri" w:eastAsia="Calibri" w:hAnsi="Calibri"/>
          <w:color w:val="6b4f3a"/>
          <w:sz w:val="22"/>
          <w:szCs w:val="22"/>
        </w:rPr>
        <w:t xml:space="preserve"> — child-directed symbolic play as regulation vehicle (CEB-002)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/>
          <w:bCs/>
          <w:color w:val="2d3b2e"/>
          <w:sz w:val="22"/>
          <w:szCs w:val="22"/>
        </w:rPr>
        <w:t xml:space="preserve">Diaphragmatic breathing</w:t>
      </w:r>
      <w:r>
        <w:rPr>
          <w:rFonts w:ascii="Calibri" w:cs="Calibri" w:eastAsia="Calibri" w:hAnsi="Calibri"/>
          <w:color w:val="6b4f3a"/>
          <w:sz w:val="22"/>
          <w:szCs w:val="22"/>
        </w:rPr>
        <w:t xml:space="preserve"> — visual-led breathing support for interoceptive differences (CEB-003)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/>
          <w:bCs/>
          <w:color w:val="2d3b2e"/>
          <w:sz w:val="22"/>
          <w:szCs w:val="22"/>
        </w:rPr>
        <w:t xml:space="preserve">Proprioceptive awareness support</w:t>
      </w:r>
      <w:r>
        <w:rPr>
          <w:rFonts w:ascii="Calibri" w:cs="Calibri" w:eastAsia="Calibri" w:hAnsi="Calibri"/>
          <w:color w:val="6b4f3a"/>
          <w:sz w:val="22"/>
          <w:szCs w:val="22"/>
        </w:rPr>
        <w:t xml:space="preserve"> — sensory-informed engagement mechanics (CEB-004)</w:t>
      </w:r>
    </w:p>
    <w:p>
      <w:pPr>
        <w:spacing w:before="0" w:after="320"/>
      </w:pPr>
      <w:r>
        <w:rPr>
          <w:rFonts w:ascii="Calibri" w:cs="Calibri" w:eastAsia="Calibri" w:hAnsi="Calibri"/>
          <w:color w:val="6b4f3a"/>
          <w:sz w:val="22"/>
          <w:szCs w:val="22"/>
        </w:rPr>
        <w:t xml:space="preserve">Each brief includes the peer-reviewed evidence, what is clearly established, what is extrapolated and why, and the specific questions your observation will answer. They are provided with the prototype.</w:t>
      </w:r>
    </w:p>
    <w:p>
      <w:pPr>
        <w:pBdr>
          <w:top w:val="single" w:color="4a7c59" w:sz="12" w:space="1"/>
        </w:pBdr>
        <w:spacing w:before="200" w:after="140"/>
      </w:pPr>
      <w:r>
        <w:rPr>
          <w:rFonts w:ascii="Calibri" w:cs="Calibri" w:eastAsia="Calibri" w:hAnsi="Calibri"/>
          <w:sz w:val="4"/>
          <w:szCs w:val="4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2d3b2e"/>
          <w:sz w:val="22"/>
          <w:szCs w:val="22"/>
        </w:rPr>
        <w:t xml:space="preserve">If this resonates, the next step is a 20-minute conversation.</w:t>
      </w:r>
    </w:p>
    <w:p>
      <w:pPr>
        <w:spacing w:before="0" w:after="40"/>
      </w:pPr>
      <w:r>
        <w:rPr>
          <w:rFonts w:ascii="Calibri" w:cs="Calibri" w:eastAsia="Calibri" w:hAnsi="Calibri"/>
          <w:color w:val="4a7c59"/>
          <w:sz w:val="20"/>
          <w:szCs w:val="20"/>
        </w:rPr>
        <w:t xml:space="preserve">Don Schminkey — Bloom Garden</w:t>
      </w:r>
    </w:p>
    <w:p>
      <w:pPr>
        <w:spacing w:before="0" w:after="0"/>
      </w:pPr>
      <w:r>
        <w:rPr>
          <w:rFonts w:ascii="Calibri" w:cs="Calibri" w:eastAsia="Calibri" w:hAnsi="Calibri"/>
          <w:i/>
          <w:iCs/>
          <w:color w:val="6b4f3a"/>
          <w:sz w:val="20"/>
          <w:szCs w:val="20"/>
        </w:rPr>
        <w:t xml:space="preserve">bloom-garden-kb.netlify.app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6b4f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60"/>
      <w:outlineLvl w:val="0"/>
    </w:pPr>
    <w:rPr>
      <w:rFonts w:ascii="Calibri" w:cs="Calibri" w:eastAsia="Calibri" w:hAnsi="Calibri"/>
      <w:b/>
      <w:bCs/>
      <w:color w:val="2d3b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Calibri" w:cs="Calibri" w:eastAsia="Calibri" w:hAnsi="Calibri"/>
      <w:b/>
      <w:bCs/>
      <w:color w:val="4a7c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2026-03-23T15:46:31.501Z</dcterms:created>
  <dcterms:modified xsi:type="dcterms:W3CDTF">2026-03-23T15:46:31.502Z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