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E8DA" w14:textId="77777777" w:rsidR="00C54BD8" w:rsidRDefault="00C54BD8" w:rsidP="00C54BD8">
      <w:proofErr w:type="spellStart"/>
      <w:r>
        <w:t>Fully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.</w:t>
      </w:r>
    </w:p>
    <w:p w14:paraId="1436A566" w14:textId="77777777" w:rsidR="00C54BD8" w:rsidRDefault="00C54BD8" w:rsidP="00C54BD8">
      <w:proofErr w:type="spellStart"/>
      <w:r>
        <w:t>Vehicles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semi-independent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on-board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0F74085C" w14:textId="77777777" w:rsidR="00C54BD8" w:rsidRDefault="00C54BD8" w:rsidP="00C54BD8">
      <w:r>
        <w:t xml:space="preserve">Special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intersect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14:paraId="71715DC7" w14:textId="77777777" w:rsidR="00C54BD8" w:rsidRDefault="00C54BD8" w:rsidP="00C54BD8">
      <w:proofErr w:type="spellStart"/>
      <w:r>
        <w:t>Dedicated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allotment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roads</w:t>
      </w:r>
      <w:proofErr w:type="spellEnd"/>
      <w:r>
        <w:t>.</w:t>
      </w:r>
    </w:p>
    <w:p w14:paraId="34B62857" w14:textId="25278984" w:rsidR="006259BC" w:rsidRDefault="00C54BD8" w:rsidP="00C54BD8">
      <w:r>
        <w:t xml:space="preserve">The </w:t>
      </w:r>
      <w:proofErr w:type="spellStart"/>
      <w:r>
        <w:t>junctions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vehicle-mounted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steered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wheels</w:t>
      </w:r>
      <w:proofErr w:type="spellEnd"/>
      <w:r>
        <w:t>.</w:t>
      </w:r>
    </w:p>
    <w:sectPr w:rsidR="0062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C7"/>
    <w:rsid w:val="00121ED3"/>
    <w:rsid w:val="00357EC7"/>
    <w:rsid w:val="006259BC"/>
    <w:rsid w:val="00C5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4D479-F6E7-44A3-A394-EB10F16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Стовба</dc:creator>
  <cp:keywords/>
  <dc:description/>
  <cp:lastModifiedBy>Владислав Стовба</cp:lastModifiedBy>
  <cp:revision>2</cp:revision>
  <dcterms:created xsi:type="dcterms:W3CDTF">2023-05-15T13:22:00Z</dcterms:created>
  <dcterms:modified xsi:type="dcterms:W3CDTF">2023-05-15T13:23:00Z</dcterms:modified>
</cp:coreProperties>
</file>