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Cornea Clinic EMR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Master Development Plan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Tertiary Cornea Institute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Plan date: </w:t>
      </w:r>
      <w:r>
        <w:rPr>
          <w:sz w:val="22"/>
          <w:szCs w:val="22"/>
        </w:rPr>
        <w:t xml:space="preserve">21 June 2026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Based on: </w:t>
      </w:r>
      <w:r>
        <w:rPr>
          <w:sz w:val="22"/>
          <w:szCs w:val="22"/>
        </w:rPr>
        <w:t xml:space="preserve">Comprehensive Tertiary Cornea EMR Global Audit (June 2026)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Goal: </w:t>
      </w:r>
      <w:r>
        <w:rPr>
          <w:sz w:val="22"/>
          <w:szCs w:val="22"/>
        </w:rPr>
        <w:t xml:space="preserve">Transform a strong specialist cornea clinic EMR (~72% complete) into a tertiary cornea institute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 xml:space="preserve">10 highest-value projects only — no billing, scheduling-only, or low-impact admin features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t xml:space="preserve">Prioritization Framework</w:t>
      </w:r>
    </w:p>
    <w:p>
      <w:pPr>
        <w:spacing w:after="120"/>
      </w:pPr>
      <w:r>
        <w:rPr>
          <w:sz w:val="22"/>
          <w:szCs w:val="22"/>
        </w:rPr>
        <w:t xml:space="preserve">Each project was scored on five dimensions (1–10), then weighted: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Core mission of a tertiary cornea institute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Non-negotiable for live clinical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Required for institute + national referral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Development effort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Inverse — faster wins where impact is 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Long-term scalability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Multi-user, multi-service, registry-ready architecture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Existing strengths leveraged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Cloud synchronization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Keratoplasty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Contact lens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Scleral lens wizard + AI Scleral Advisor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Laser Refractive Surgery module + AI Refractive Planner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Structured anterior segment builder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Why these 10 projects</w:t>
      </w:r>
    </w:p>
    <w:p>
      <w:pPr>
        <w:spacing w:after="120"/>
      </w:pPr>
      <w:r>
        <w:rPr>
          <w:sz w:val="22"/>
          <w:szCs w:val="22"/>
        </w:rPr>
        <w:t xml:space="preserve">The audit identified the largest gaps blocking tertiary status: data loss risk (cloud media), missing disease registries (CXL, keratitis), manual device entry, disconnected graft outcomes, and no research layer. Admin features (billing, SMS, native apps) were excluded.</w:t>
      </w:r>
    </w:p>
    <w:p>
      <w:pPr>
        <w:pStyle w:val="Heading1"/>
        <w:spacing w:after="180" w:before="360"/>
      </w:pPr>
      <w:r>
        <w:t xml:space="preserve">Roadmap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Theme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Immediate (0–3 months)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Stop clinical data loss; launch KC/CXL programme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Emergency cornea + device integration + graft outcomes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platform + complete examination + multi-user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Advanced AI + accredited eye bank operations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Phase 1 — Immediate (0–3 months)</w:t>
      </w:r>
    </w:p>
    <w:p>
      <w:pPr>
        <w:pStyle w:val="Heading2"/>
        <w:spacing w:after="140" w:before="280"/>
      </w:pPr>
      <w:r>
        <w:t xml:space="preserve">Project 1: Persistent Cloud Clinical Media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1 — Immediate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Replace DigitalOcean /tmp/media with durable object storage (Cloudflare R2 or DO Spaces). Migrate upload, sync, and restore paths for slit-lamp photos, topography, AS-OCT, PDFs, and drawings.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Live patient images and documents are clinical records. Ephemeral storage risks permanent loss on redeploy — unacceptable at tertiary level.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Enables longitudinal imaging studies and teaching case libraries later.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— API storage layer + migration of existing assets + sync client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Cloud storage bucket, signed URL strategy, media_assets schema (already exists)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9.5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Highest patient-safety ROI with moderate effort. Unblocks every imaging-dependent module and registry.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Project 2: CXL &amp; Keratoconus Longitudinal Registry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1 — Immediate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Dedicated registry module: KC diagnosis timeline, topography serial entry/import hooks, CXL protocol (epi-on/off, energy, riboflavin), post-CXL Kmax/Kmean tracking, progression flags, links to scleral/laser modules.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Audit scored Cross-linking Centre at 3.5/10 — the largest single-service gap. CXL is mentioned in laser AI only; no programme tracking exists.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 — ectasia progression, CXL efficacy, and KC natural history are core institute research outputs.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Medium–High — new JSON module + cloud sync entity + dashboard 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1 (imaging); builds on existing laser/scleral KC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9.0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Transforms keratoconus documented in visits into a Keratoconus Centre with longitudinal care and research capability.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2 — 3 months</w:t>
      </w:r>
    </w:p>
    <w:p>
      <w:pPr>
        <w:pStyle w:val="Heading2"/>
        <w:spacing w:after="140" w:before="280"/>
      </w:pPr>
      <w:r>
        <w:t xml:space="preserve">Project 3: Infectious Keratitis &amp; Corneal Ulcer Service Module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2 — 3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Structured ulcer workflow: presentation scoring, culture/smear tracking, organism type, antimicrobial protocol, daily photo series, healing timeline, emergency queue integration with patient flow.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Corneal Ulcer Centre scored 5.0/10. Ulcers are only anterior-segment findings today — no staging, microbiology, or treatment protocol module.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— microbial keratitis outcomes, resistance patterns, treatment response studies.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— new clinical taxonomy + workflow + lab fields + print 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1 (serial photography); anterior segment builder (existing)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9.0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Essential for tertiary emergency cornea and national referral acceptance. Direct patient-safety impact through structured treatment tracking.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Project 4: Pentacam &amp; Diagnostic Device Import Pipeline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2 — 3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Import Pentacam CSV/export (first device), map to KC/CXL registry and laser work-up. Foundation for specular + AS-OCT later. Auto-populate Kmax, pachymetry, indices.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Manual topography entry is the main bottleneck in laser refractive and KC modules. Tertiary institutes expect device-connected workflows.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 — enables large-scale ectasia-risk and CXL outcome datasets without transcription error.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— parsers, validation, mapping layer, UI review before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2 (CXL registry); laser refractive module (existing)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8.5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Multiplies value of existing AI Refractive Planner and new CXL registry. Eliminates highest-friction data entry across two flagship modules.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Project 5: Keratoplasty Graft Outcomes &amp; Rejection Registry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2 — 3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Link KP register patients to visit records. Structured post-graft exams: endothelial count trend, rejection episodes, graft clarity, IOP, medications, failure/re-graft events.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KP register is strong (7.5/10) but post-op tracking scored 5.0/10. Graft survival monitoring is core keratoplasty programme requirement.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 — graft survival, rejection risk factors, endothelial cell loss — publishable registry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— schema extension + visit linkage UI + outcome 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Existing KP register + sync; anterior segment builder; Project 1 for post-op photos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8.5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Leverages existing keratoplasty strength rather than building from scratch. Closes the graft programme's biggest clinical gap.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3 — 6 months</w:t>
      </w:r>
    </w:p>
    <w:p>
      <w:pPr>
        <w:pStyle w:val="Heading2"/>
        <w:spacing w:after="140" w:before="280"/>
      </w:pPr>
      <w:r>
        <w:t xml:space="preserve">Project 6: Cornea Research Analytics &amp; Outcomes Dashboard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3 — 6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Institute dashboard: cohort builder (KC, CXL, keratitis, KP, refractive), outcome summaries, export to CSV/Excel, basic statistics (Kaplan-Meier for graft survival, progression rates).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Supports quality improvement — rejection rates, CXL failure, keratitis healing times.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Critical — Research Centre scored 4.5/10. Transforms export-only data into an analytics platform.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— aggregation queries on JSONB + registry tables +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Projects 2, 3, 4, 5 (structured registries must exist first)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8.0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Unlocks tertiary Research Unit and path toward national registry. Depends on registries from Phases 1–2.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Project 7: Structured Posterior Segment Examination Module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3 — 6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Taxonomy-driven posterior segment builder (disc, macula, vessels, periphery) mirroring anterior segment pattern. Links to visit media and print.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Fundus is legacy free-text (5.0/10). Tertiary cornea institutes still document posterior findings (CMV retinitis, diabetic screening, post-graft fundus).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— enables combined anterior/posterior outcome studies.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 — reuse anterior builder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Anterior segment builder pattern (existing); Project 1 for fundus images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7.0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Completes the clinical record beyond cornea-only anterior work. Reuses proven builder pattern — good effort/impact ratio.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Project 8: Multi-Clinician Record Locking &amp; Concurrent Edit Safety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3 — 6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Optimistic locking UI, record-in-use warnings, conflict resolution for simultaneous edits, section-level attribution enhancement.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Tertiary institutes run concurrent consultants, fellows, and technicians. Sync conflicts today are backend-only — users need visible safety.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Low–Medium — protects data integrity for research datasets.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Medium–High — sync protocol + UI + offline/online edge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Existing sync infrastructure (stable); audit trail (existing)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7.5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Patient safety and scalability for multi-user tertiary workflow without rebuilding sync from scratch.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t xml:space="preserve">Phase 4 — 12 months</w:t>
      </w:r>
    </w:p>
    <w:p>
      <w:pPr>
        <w:pStyle w:val="Heading2"/>
        <w:spacing w:after="140" w:before="280"/>
      </w:pPr>
      <w:r>
        <w:t xml:space="preserve">Project 9: Topography-Integrated Ectasia AI &amp; Advanced Refractive Decision Support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4 — 12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Extend AI Refractive Planner with imported topography metrics: enhanced ectasia scoring, CXL recommendation refinement, procedure ranking validated against registry outcomes (Projects 2 + 4 data).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Current AI is rule-based and manual-entry limited. Device-fed AI is the natural evolution of existing AI Refractive Planner strength.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 — AI vs surgeon decisions, outcome correlation, model validation papers.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 — ML pipeline, validation cohort, regulatory considerations for CDS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Projects 2, 4, 6 (registry data + topography import + analytics)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8.0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Builds on flagship laser + AI strength rather than new greenfield AI. Becomes defensible tertiary differentiator after data foundation exists.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t xml:space="preserve">Project 10: Accredited Eye Bank Operations &amp; Traceability Module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Phase: </w:t>
      </w:r>
      <w:r>
        <w:rPr>
          <w:sz w:val="22"/>
          <w:szCs w:val="22"/>
        </w:rPr>
        <w:t xml:space="preserve">Phase 4 — 12 months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What: </w:t>
      </w:r>
      <w:r>
        <w:rPr>
          <w:sz w:val="22"/>
          <w:szCs w:val="22"/>
        </w:rPr>
        <w:t xml:space="preserve">Expand KP tissue inventory into full eye-bank workflow: donor ID, serology, quarantine, chain-of-custody, cold-chain events, regulatory export, allocation audit trail.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justification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Bank scored 5.0/10 — inventory only. Tertiary institutes with in-house or affiliated eye banks need traceability for graft safety.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 — donor tissue quality vs outcome linkage (with Project 5).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 — regulatory domain, workflow depth, compliance documentation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Dependencies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Project 5 (graft outcomes); existing KP tissue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7.5 / 10</w:t>
            </w:r>
          </w:p>
        </w:tc>
      </w:tr>
    </w:tbl>
    <w:p>
      <w:pPr>
        <w:pStyle w:val="Heading3"/>
        <w:spacing w:after="100" w:before="200"/>
      </w:pPr>
      <w:r>
        <w:t xml:space="preserve">Why selected</w:t>
      </w:r>
    </w:p>
    <w:p>
      <w:pPr>
        <w:spacing w:after="120"/>
      </w:pPr>
      <w:r>
        <w:rPr>
          <w:sz w:val="22"/>
          <w:szCs w:val="22"/>
        </w:rPr>
        <w:t xml:space="preserve">Completes the Eye Bank + Keratoplasty service line using existing tissue inventory as foundation. Deferred to Phase 4 due to complexity and regulatory scope.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t xml:space="preserve">Summary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Primary driver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Persistent Cloud Media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Patient 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CXL &amp; KC Longitudinal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Med–High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+ research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Infectious Keratitis Service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+ 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Pentacam / Device Import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Scalability + clinical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KP Graft Outcomes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+ research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Analytics 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Posterior Segment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completeness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Multi-clinician Record Locking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Med–High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Safety + scale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Topography-Integrated Ectasia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Clinical + research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Bank Traceability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Institute completeness</w:t>
            </w:r>
          </w:p>
        </w:tc>
      </w:tr>
    </w:tbl>
    <w:p>
      <w:pPr>
        <w:pStyle w:val="Heading1"/>
        <w:spacing w:after="180" w:before="360"/>
      </w:pPr>
      <w:r>
        <w:t xml:space="preserve">Deliberately Excluded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Excluded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Billing /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 tertiary clinical 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Appointment scheduling alone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Admin; not institute differentiator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Native mobile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Responsive web sufficient; high effort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PWA / cosmetic UX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Low impact vs registries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FHIR export (standalone)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Covered later via Project 6 export layer if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Code refactor / split 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Important technically but not in top 10 clinical projects</w:t>
            </w:r>
          </w:p>
        </w:tc>
      </w:tr>
    </w:tbl>
    <w:p>
      <w:pPr>
        <w:pStyle w:val="Heading1"/>
        <w:spacing w:after="180" w:before="360"/>
      </w:pPr>
      <w:r>
        <w:t xml:space="preserve">Expected Institute Readiness After Full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Current (/10)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After plan (est.)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Keratoconus / CXL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3.5–6.0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Corneal Ulcer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Keratoplasty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Laser Refractive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Research Centre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Eye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Overall tertiary readiness (avg.)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~5.5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~8.0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Estimated completion after all 10 projects: ~88–90% of tertiary institute vision (up from ~72% today).</w:t>
      </w:r>
    </w:p>
    <w:p>
      <w:pPr>
        <w:pStyle w:val="Heading1"/>
        <w:spacing w:after="180" w:before="360"/>
      </w:pPr>
      <w:r>
        <w:t xml:space="preserve">Critical Path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1 (Media) must start first — every imaging-dependent registry depends on durable storage.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1 → Project 2 (CXL Registry) → Project 4 (Pentacam Import) → Project 9 (Ectasia AI)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1 → Project 3 (Keratitis Module)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5 (Graft Outcomes) → Project 10 (Eye Bank) → Project 6 (Analytics Dashboard)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7 (Posterior Segment) — parallel after Phase 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Project 8 (Record Locking) — parallel in Phase 3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To regenerate this document: node scripts/generate-master-development-plan-docx.mjs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Development Plan — Tertiary Cornea Institute Platform</dc:title>
  <dc:creator>Cornea Clinic EMR</dc:creator>
  <dc:description>Prioritized 10-project roadmap based on Comprehensive Global Audit, June 2026</dc:description>
  <cp:lastModifiedBy>Un-named</cp:lastModifiedBy>
  <cp:revision>1</cp:revision>
  <dcterms:created xsi:type="dcterms:W3CDTF">2026-06-21T15:12:32.458Z</dcterms:created>
  <dcterms:modified xsi:type="dcterms:W3CDTF">2026-06-21T15:12:32.460Z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