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UNIVERSIDAD TECNOLÓGICA DE PANAMÁ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FACULTAD DE INGENIERÍA DE SISTEMAS COMPUTACIONALES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CARRERA DE LICENCIATURA EN INGENIERÍA DE SISTEMAS DE INFORMACIÓN GERENCIAL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RAMA ESTUDIANTIL IEEE EMBS – CONGRESO CONTEC</w:t>
      </w:r>
    </w:p>
    <w:p>
      <w:pPr>
        <w:spacing w:after="0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MEDDATA CHALLENGE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“TRANSFORMANDO DATOS MÉDICOS EN SOLUCIONES INTELIGENTES”</w:t>
      </w:r>
    </w:p>
    <w:p>
      <w:pPr>
        <w:spacing w:after="0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SISTEMA DE PUNTUACIÓN DE RIESGO DE DIABETES</w:t>
      </w:r>
    </w:p>
    <w:p>
      <w:pPr>
        <w:spacing w:after="0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DOCUMENTACIÓN DEL PROYECTO: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METODOLOGÍA, RESULTADOS, VISUALIZACIONES E IMPACTO</w:t>
      </w:r>
    </w:p>
    <w:p>
      <w:pPr>
        <w:spacing w:after="0"/>
      </w:pPr>
    </w:p>
    <w:p>
      <w:pPr>
        <w:spacing w:after="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 DEL EQUIPO:</w:t>
      </w:r>
    </w:p>
    <w:tbl>
      <w:tblPr>
        <w:tblW w:type="dxa" w:w="4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20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CORNELIO GUERRA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4-826-268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JESÚS GUERRA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8-1035-1354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REPOSITORIO: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github.com/Cornelio-Guerra/datathon-meddata</w:t>
      </w:r>
    </w:p>
    <w:p>
      <w:pPr>
        <w:spacing w:after="0"/>
      </w:pPr>
    </w:p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04 DE SEPTIEMBRE DEL 2026</w:t>
      </w:r>
    </w:p>
    <w:p>
      <w:r>
        <w:br w:type="page"/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EL PROBLEMA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de salud necesita detectar patrones de diabetes en miles de registros y decidir a quién derivar primero a prueba confirmatoria, cuando los recursos diagnósticos son limitados. Se trabajó sobre BRFSS 2015: 253,680 encuestas con 22 variables.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METODOLOGÍA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Depuración e inconsistencias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1400"/>
        <w:gridCol w:w="476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Hallazgo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Duplicados exactos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23,899 (9.4%)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Eliminados — se reporta también el escenario contrario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IMC fuera de rango fisiológico (&lt;12 o &gt;60)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805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Eliminados — error de captura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seguro y sin barrera de costo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7,838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Conservados — no es contradicción: 63% de los no asegurados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Clase prediabetes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4,612</w:t>
            </w:r>
          </w:p>
        </w:tc>
        <w:tc>
          <w:tcPr>
            <w:tcW w:type="dxa" w:w="4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Excluida del ajuste — estado intermedio con pocos casos</w:t>
            </w:r>
          </w:p>
        </w:tc>
      </w:tr>
    </w:tbl>
    <w:p>
      <w:pPr>
        <w:spacing w:after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Población: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253,680 crudos → 228,976 depurados → 224,364 calibrados.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Construcción del score — método de Sullivan (Framingham)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factor se calcula su odds ratio crudo contra un nivel de referencia y se convierte a puntos enteros:</w:t>
      </w:r>
    </w:p>
    <w:p>
      <w:pPr>
        <w:shd w:fill="F2F2F2" w:color="auto" w:val="clear"/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puntos = round( ln(OR) / B )     con B = 0.7532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donde B es el menor ln(OR) positivo observado. No hay pesos elegidos a mano ni ajustados por ensayo y error: cada punto multiplica los odds por ≈1.45.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¿Por qué entra cada variable?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900"/>
        <w:gridCol w:w="5260"/>
        <w:gridCol w:w="1200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Relación clínica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Salud autopercibida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Marcador integrado de comorbilidad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Edad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Deterioro de la función pancreática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IMC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Principal factor modificable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Presión alta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del síndrome metabólico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Dificultad para caminar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 de complicaciones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Enfermedad cardíaca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Comorbilidad del síndrome metabólico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Colesterol alto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del síndrome metabólico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Derrame previo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Consecuencia vascular compartida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Actividad física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Protector — sensibilidad a la insulina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Consumo alto de alcohol</w:t>
            </w:r>
          </w:p>
        </w:tc>
        <w:tc>
          <w:tcPr>
            <w:tcW w:type="dxa" w:w="5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Protector aparente — ver limitaciones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</w:t>
            </w:r>
          </w:p>
        </w:tc>
      </w:tr>
    </w:tbl>
    <w:p>
      <w:pPr>
        <w:spacing w:after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descartó CholCheck pese a estar entre los OR más altos: mide si la persona se hizo un chequeo, no su estado de salud. Es un marcador de contacto con el sistema sanitario, no un factor de riesgo.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 ¿Por qué el corte en 7?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evaluaron 12 umbrales. El 7 no maximiza el accuracy: se eligió por el costo asimétrico del error. En tamizaje, un falso negativo es un paciente que se va sin diagnóstico; un falso positivo solo genera una prueba confirmatoria barata.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RESULTADOS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1F3864" w:color="auto" w:val="clear"/>
            <w:tcMar>
              <w:top w:type="dxa" w:w="140"/>
              <w:bottom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0.798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AUC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1F3864" w:color="auto" w:val="clear"/>
            <w:tcMar>
              <w:top w:type="dxa" w:w="140"/>
              <w:bottom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85.5%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Sensibilidad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1F3864" w:color="auto" w:val="clear"/>
            <w:tcMar>
              <w:top w:type="dxa" w:w="140"/>
              <w:bottom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95.6%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VPN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1F3864" w:color="auto" w:val="clear"/>
            <w:tcMar>
              <w:top w:type="dxa" w:w="140"/>
              <w:bottom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24,704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Inconsistencias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Pacientes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Prevalencia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Bajo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6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115,913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7–9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56,450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17.9%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36,137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33.1%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Muy alto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13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15,864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52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49.2%</w:t>
            </w:r>
          </w:p>
        </w:tc>
      </w:tr>
    </w:tbl>
    <w:p>
      <w:pPr>
        <w:spacing w:after="12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AUC se calculó con el estadístico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Mann-Whitney implementado a mano</w:t>
      </w:r>
      <w:r>
        <w:rPr>
          <w:rFonts w:ascii="Arial" w:cs="Arial" w:eastAsia="Arial" w:hAnsi="Arial"/>
          <w:sz w:val="22"/>
          <w:szCs w:val="22"/>
        </w:rPr>
        <w:t xml:space="preserve">, sin librerías de machine learning, y coincide con la implementación de referencia.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Clasificación de un paciente nuevo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Ejemplo — 60-64 años, IMC 33, salud regular, hipertensión, colesterol alto:</w:t>
      </w:r>
    </w:p>
    <w:p>
      <w:pPr>
        <w:pBdr>
          <w:left w:val="single" w:color="1F3864" w:sz="24" w:space="8"/>
        </w:pBdr>
        <w:shd w:fill="F2F2F2" w:color="auto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IMC 2 + Edad 2 + Salud 3 + Hipertensión 2 + Colesterol 2 =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11 puntos → Alto → 33.1% → derivar SÍ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se aplica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papel, sin computadora y sin laboratorio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VISUALIZACIONES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577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 score separa 11 veces entre el grupo de menor y mayor riesgo.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577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Salud autopercibida y edad pesan más que los marcadores clínicos.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577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Distribución del score — se deriva al 48.3% de mayor puntaje (corte ≥ 7).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HALLAZGOS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limpieza de datos es una decisión, no un trámite — y la medimos en ambas direcciones. </w:t>
      </w:r>
      <w:r>
        <w:rPr>
          <w:rFonts w:ascii="Arial" w:cs="Arial" w:eastAsia="Arial" w:hAnsi="Arial"/>
          <w:sz w:val="22"/>
          <w:szCs w:val="22"/>
        </w:rPr>
        <w:t xml:space="preserve">Verificamos si los 23,899 duplicados eran errores de captura o colisiones de azar: tienen 1.0% de diabetes contra 15.3% del resto y cero derrames — el perfil joven-sano modal, firma de una colisión estadística en una encuesta de 21 variables casi todas binarias. Corrimos el pipeline en ambos escenarios: sin deduplicar AUC 0.816; deduplicando, 0.798. Reportamos la cifra conservadora.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salud autopercibida predice mejor que varios marcadores clínicos. </w:t>
      </w:r>
      <w:r>
        <w:rPr>
          <w:rFonts w:ascii="Arial" w:cs="Arial" w:eastAsia="Arial" w:hAnsi="Arial"/>
          <w:sz w:val="22"/>
          <w:szCs w:val="22"/>
        </w:rPr>
        <w:t xml:space="preserve">Quien califica su salud como “mala” tiene 38.9% de diabetes contra 3.3% de quien la califica “excelente” — un OR de 18.8, el más alto de los 10 factores del score, por encima de presión alta (4.6) y colesterol (3.1). Es una pregunta que cuesta cero y ordena mejor que un análisis de sangre.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Diez preguntas estratifican el riesgo 11 veces, sin laboratorio. </w:t>
      </w:r>
      <w:r>
        <w:rPr>
          <w:rFonts w:ascii="Arial" w:cs="Arial" w:eastAsia="Arial" w:hAnsi="Arial"/>
          <w:sz w:val="22"/>
          <w:szCs w:val="22"/>
        </w:rPr>
        <w:t xml:space="preserve">Derivando al 48% de mayor puntaje se captura el 85.5% de los diabéticos, y cuando el sistema dice “bajo riesgo” acierta el 95.6% de las veces.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IMPACTO POTENCIAL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Tamizaje sin costo marginal. </w:t>
      </w:r>
      <w:r>
        <w:rPr>
          <w:rFonts w:ascii="Arial" w:cs="Arial" w:eastAsia="Arial" w:hAnsi="Arial"/>
          <w:sz w:val="22"/>
          <w:szCs w:val="22"/>
        </w:rPr>
        <w:t xml:space="preserve">Diez preguntas de entrevista, sin laboratorio ni equipo.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Priorización de lista de espera. </w:t>
      </w:r>
      <w:r>
        <w:rPr>
          <w:rFonts w:ascii="Arial" w:cs="Arial" w:eastAsia="Arial" w:hAnsi="Arial"/>
          <w:sz w:val="22"/>
          <w:szCs w:val="22"/>
        </w:rPr>
        <w:t xml:space="preserve">Derivar al 48% de mayor puntaje captura el 85.5% de los casos.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Descarte confiable. </w:t>
      </w:r>
      <w:r>
        <w:rPr>
          <w:rFonts w:ascii="Arial" w:cs="Arial" w:eastAsia="Arial" w:hAnsi="Arial"/>
          <w:sz w:val="22"/>
          <w:szCs w:val="22"/>
        </w:rPr>
        <w:t xml:space="preserve">Un VPN de 95.6% permite no consumir recursos diagnósticos en media población.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Auditable. </w:t>
      </w:r>
      <w:r>
        <w:rPr>
          <w:rFonts w:ascii="Arial" w:cs="Arial" w:eastAsia="Arial" w:hAnsi="Arial"/>
          <w:sz w:val="22"/>
          <w:szCs w:val="22"/>
        </w:rPr>
        <w:t xml:space="preserve">Cada punto se remonta a un odds ratio calculado sobre datos públicos.</w:t>
      </w:r>
    </w:p>
    <w:p>
      <w:pPr>
        <w:keepNext/>
        <w:spacing w:after="10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Sobre el uso de machine learning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organizadores confirmaron que el ML está permitido. Se usó solo como contraste: un Random Forest sobre el dataset crudo alcanza AUC 0.823 frente a 0.798 del score. Esos 25 milésimos cuestan un modelo que nadie aplica en papel ni audita — y ese 0.823 está medido sobre datos sin deduplicar. No son comparables.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LIMITACIONES DECLARADAS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Datos autorreportados (encuesta telefónica).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Odds ratio crudos, no ajustados por confusores: factores correlacionados aportan puntos de forma parcialmente redundante.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score se calibró y validó sobre el mismo conjunto.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excluyó la prediabetes (1.8%) por insuficiencia de casos.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efecto protector del alcohol es casi con certeza confusión, no causalidad.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USO DE INTELIGENCIA ARTIFICIAL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Conforme al reglamento, se declara en USO_DE_IA.md del repositorio: herramientas empleadas (Claude Opus 5 vía Claude Code y Codex), qué produjo cada una, qué decidió el equipo y los prompts principales textuales.</w:t>
      </w:r>
    </w:p>
    <w:p>
      <w:pPr>
        <w:keepNext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REPRODUCIBILIDAD</w:t>
      </w:r>
    </w:p>
    <w:p>
      <w:pPr>
        <w:shd w:fill="F2F2F2" w:color="auto" w:val="clear"/>
        <w:spacing w:after="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hd w:fill="F2F2F2" w:color="auto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src/score_diabetes.py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Ese comando reproduce íntegramente las cifras de este documento.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0"/>
      <w:gridCol w:w="7360"/>
      <w:gridCol w:w="1000"/>
    </w:tblGrid>
    <w:tr>
      <w:tc>
        <w:tcPr>
          <w:tcW w:type="dxa" w:w="1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49530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UNIVERSIDAD TECNOLÓGICA DE PANAMÁ</w:t>
          </w:r>
        </w:p>
        <w:p>
          <w:pPr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FACULTAD DE INGENIERÍA DE SISTEMAS COMPUTACIONALES</w:t>
          </w:r>
        </w:p>
        <w:p>
          <w:pPr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LICENCIATURA EN INGENIERÍA DE SISTEMAS DE INFORMACIÓN GERENCIAL</w:t>
          </w:r>
        </w:p>
        <w:p>
          <w:pPr>
            <w:spacing w:after="0" w:line="240"/>
            <w:jc w:val="center"/>
          </w:pPr>
          <w:r>
            <w:rPr>
              <w:rFonts w:ascii="Arial" w:cs="Arial" w:eastAsia="Arial" w:hAnsi="Arial"/>
              <w:b/>
              <w:bCs/>
              <w:sz w:val="16"/>
              <w:szCs w:val="16"/>
            </w:rPr>
            <w:t xml:space="preserve">MEDDATA CHALLENGE – IEEE EMBS / CONTEC – DOCUMENTACIÓN DEL PROYECTO</w:t>
          </w:r>
        </w:p>
      </w:tc>
      <w:tc>
        <w:tcPr>
          <w:tcW w:type="dxa" w:w="1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49530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320a34fdb40bf082c7f9d912b1292bccb14aa82.png"/><Relationship Id="rId12" Type="http://schemas.openxmlformats.org/officeDocument/2006/relationships/image" Target="media/eaba1fa52eb2610352fcb20b7ee8395f1dbb182d.png"/><Relationship Id="rId13" Type="http://schemas.openxmlformats.org/officeDocument/2006/relationships/image" Target="media/070f764e9e5cca9756782990cf6062109ebdc740.png"/><Relationship Id="rId14" Type="http://schemas.openxmlformats.org/officeDocument/2006/relationships/image" Target="media/00ef595bf116d6dfa208e98c0812ea35f189b8ca.png"/><Relationship Id="rId15" Type="http://schemas.openxmlformats.org/officeDocument/2006/relationships/image" Target="media/dbeb6c983a9e56cdc189eec4206cac95242f188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320a34fdb40bf082c7f9d912b1292bccb14aa82.png"/><Relationship Id="rId1" Type="http://schemas.openxmlformats.org/officeDocument/2006/relationships/image" Target="media/eaba1fa52eb2610352fcb20b7ee8395f1dbb182d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2026-09-04T21:39:55.580Z</dcterms:created>
  <dcterms:modified xsi:type="dcterms:W3CDTF">2026-09-04T21:39:55.580Z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