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Customer Retention &amp; Churn Analysis</w:t>
      </w:r>
    </w:p>
    <w:p>
      <w:pPr>
        <w:spacing w:after="300"/>
      </w:pPr>
      <w:r>
        <w:rPr>
          <w:i/>
          <w:iCs/>
          <w:color w:val="555555"/>
          <w:sz w:val="24"/>
          <w:szCs w:val="24"/>
        </w:rPr>
        <w:t xml:space="preserve">Executive Summary</w:t>
      </w:r>
    </w:p>
    <w:p>
      <w:pPr>
        <w:pStyle w:val="Heading1"/>
        <w:spacing w:after="150" w:before="300"/>
      </w:pPr>
      <w:r>
        <w:t xml:space="preserve">Business Problem</w:t>
      </w:r>
    </w:p>
    <w:p>
      <w:pPr>
        <w:spacing w:after="150"/>
      </w:pPr>
      <w:r>
        <w:t xml:space="preserve">A subscription-based telecom company is experiencing customer churn that is impacting recurring revenue. Leadership needs to understand which customer segments are most likely to churn, what factors are driving that churn, and what actions could reduce it. This analysis identifies the strongest churn drivers, quantifies exposure, and recommends targeted retention actions.</w:t>
      </w:r>
    </w:p>
    <w:p>
      <w:pPr>
        <w:pStyle w:val="Heading1"/>
        <w:spacing w:after="150" w:before="300"/>
      </w:pPr>
      <w:r>
        <w:t xml:space="preserve">Approach</w:t>
      </w:r>
    </w:p>
    <w:p>
      <w:pPr>
        <w:pStyle w:val="ListParagraph"/>
        <w:numPr>
          <w:ilvl w:val="0"/>
          <w:numId w:val="1"/>
        </w:numPr>
        <w:spacing w:after="120"/>
      </w:pPr>
      <w:r>
        <w:t xml:space="preserve">Analyzed a dataset of 7,043 customers, including contract type, tenure, payment method, and service add-ons.</w:t>
      </w:r>
    </w:p>
    <w:p>
      <w:pPr>
        <w:pStyle w:val="ListParagraph"/>
        <w:numPr>
          <w:ilvl w:val="0"/>
          <w:numId w:val="1"/>
        </w:numPr>
        <w:spacing w:after="120"/>
      </w:pPr>
      <w:r>
        <w:t xml:space="preserve">Validated data quality (no missing values, no duplicate records) before analysis.</w:t>
      </w:r>
    </w:p>
    <w:p>
      <w:pPr>
        <w:pStyle w:val="ListParagraph"/>
        <w:numPr>
          <w:ilvl w:val="0"/>
          <w:numId w:val="1"/>
        </w:numPr>
        <w:spacing w:after="120"/>
      </w:pPr>
      <w:r>
        <w:t xml:space="preserve">Established an overall churn baseline of 26.5% and compared key customer segments against it.</w:t>
      </w:r>
    </w:p>
    <w:p>
      <w:pPr>
        <w:pStyle w:val="ListParagraph"/>
        <w:numPr>
          <w:ilvl w:val="0"/>
          <w:numId w:val="1"/>
        </w:numPr>
        <w:spacing w:after="120"/>
      </w:pPr>
      <w:r>
        <w:t xml:space="preserve">Built a visual dashboard summarizing churn rate across four dimensions: contract type, tenure, payment method, and TechSupport enrollment.</w:t>
      </w:r>
    </w:p>
    <w:p>
      <w:pPr>
        <w:pStyle w:val="Heading1"/>
        <w:spacing w:after="150" w:before="300"/>
      </w:pPr>
      <w:r>
        <w:t xml:space="preserve">Key Findings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F2F2F2" w:val="clear"/>
          </w:tcPr>
          <w:p>
            <w:r>
              <w:rPr>
                <w:b/>
                <w:bCs/>
              </w:rPr>
              <w:t xml:space="preserve">Contract Type</w:t>
            </w:r>
          </w:p>
        </w:tc>
        <w:tc>
          <w:tcPr>
            <w:tcW w:type="dxa" w:w="6800"/>
          </w:tcPr>
          <w:p>
            <w:r>
              <w:t xml:space="preserve">Month-to-month customers churn at 42.7%, compared to 11.3% for one-year and 2.8% for two-year contracts. This group accounts for 88.5% of all churned customers despite being just 55% of the customer base — the single strongest churn driver identified.</w:t>
            </w:r>
          </w:p>
        </w:tc>
      </w:tr>
      <w:tr>
        <w:tc>
          <w:tcPr>
            <w:tcW w:type="dxa" w:w="3200"/>
            <w:shd w:fill="F2F2F2" w:val="clear"/>
          </w:tcPr>
          <w:p>
            <w:r>
              <w:rPr>
                <w:b/>
                <w:bCs/>
              </w:rPr>
              <w:t xml:space="preserve">Customer Tenure</w:t>
            </w:r>
          </w:p>
        </w:tc>
        <w:tc>
          <w:tcPr>
            <w:tcW w:type="dxa" w:w="6800"/>
          </w:tcPr>
          <w:p>
            <w:r>
              <w:t xml:space="preserve">New customers (0-6 months) churn at 52.9%, roughly double the overall average, with churn risk declining steadily as tenure increases. The first 6 months represents the critical window for retention.</w:t>
            </w:r>
          </w:p>
        </w:tc>
      </w:tr>
      <w:tr>
        <w:tc>
          <w:tcPr>
            <w:tcW w:type="dxa" w:w="3200"/>
            <w:shd w:fill="F2F2F2" w:val="clear"/>
          </w:tcPr>
          <w:p>
            <w:r>
              <w:rPr>
                <w:b/>
                <w:bCs/>
              </w:rPr>
              <w:t xml:space="preserve">Payment Method</w:t>
            </w:r>
          </w:p>
        </w:tc>
        <w:tc>
          <w:tcPr>
            <w:tcW w:type="dxa" w:w="6800"/>
          </w:tcPr>
          <w:p>
            <w:r>
              <w:t xml:space="preserve">Customers paying by electronic check churn at 45.3%, nearly 3x the rate of customers on automatic payment methods (bank transfer: 16.7%, credit card: 15.2%).</w:t>
            </w:r>
          </w:p>
        </w:tc>
      </w:tr>
      <w:tr>
        <w:tc>
          <w:tcPr>
            <w:tcW w:type="dxa" w:w="3200"/>
            <w:shd w:fill="F2F2F2" w:val="clear"/>
          </w:tcPr>
          <w:p>
            <w:r>
              <w:rPr>
                <w:b/>
                <w:bCs/>
              </w:rPr>
              <w:t xml:space="preserve">TechSupport Enrollment</w:t>
            </w:r>
          </w:p>
        </w:tc>
        <w:tc>
          <w:tcPr>
            <w:tcW w:type="dxa" w:w="6800"/>
          </w:tcPr>
          <w:p>
            <w:r>
              <w:t xml:space="preserve">Customers without TechSupport churn at 41.6%, nearly 3x the rate of customers who have it (15.2%), suggesting TechSupport functions as a meaningful retention tool rather than a simple add-on.</w:t>
            </w:r>
          </w:p>
        </w:tc>
      </w:tr>
    </w:tbl>
    <w:p>
      <w:pPr>
        <w:spacing w:after="200"/>
      </w:pPr>
    </w:p>
    <w:p>
      <w:pPr>
        <w:spacing w:after="150"/>
      </w:pPr>
      <w:r>
        <w:t xml:space="preserve">These findings overlap: the highest-risk customer profile is a new (0-6 month), month-to-month customer paying by electronic check without TechSupport.</w:t>
      </w:r>
    </w:p>
    <w:p>
      <w:pPr>
        <w:pStyle w:val="Heading1"/>
        <w:spacing w:after="150" w:before="300"/>
      </w:pPr>
      <w:r>
        <w:t xml:space="preserve">Recommendations</w:t>
      </w:r>
    </w:p>
    <w:p>
      <w:pPr>
        <w:pStyle w:val="ListParagraph"/>
        <w:numPr>
          <w:ilvl w:val="0"/>
          <w:numId w:val="1"/>
        </w:numPr>
        <w:spacing w:after="120"/>
      </w:pPr>
      <w:r>
        <w:t xml:space="preserve">Target month-to-month customers with incentives (e.g., discounted pricing or added services) to convert them to one- or two-year contracts, prioritizing customers in their first 6 months.</w:t>
      </w:r>
    </w:p>
    <w:p>
      <w:pPr>
        <w:pStyle w:val="ListParagraph"/>
        <w:numPr>
          <w:ilvl w:val="0"/>
          <w:numId w:val="1"/>
        </w:numPr>
        <w:spacing w:after="120"/>
      </w:pPr>
      <w:r>
        <w:t xml:space="preserve">Encourage enrollment in automatic payment methods (bank transfer or credit card) at signup and through targeted outreach to existing electronic-check customers.</w:t>
      </w:r>
    </w:p>
    <w:p>
      <w:pPr>
        <w:pStyle w:val="ListParagraph"/>
        <w:numPr>
          <w:ilvl w:val="0"/>
          <w:numId w:val="1"/>
        </w:numPr>
        <w:spacing w:after="120"/>
      </w:pPr>
      <w:r>
        <w:t xml:space="preserve">Promote or bundle TechSupport for new and month-to-month customers as a low-cost retention lever.</w:t>
      </w:r>
    </w:p>
    <w:p>
      <w:pPr>
        <w:pStyle w:val="ListParagraph"/>
        <w:numPr>
          <w:ilvl w:val="0"/>
          <w:numId w:val="1"/>
        </w:numPr>
        <w:spacing w:after="120"/>
      </w:pPr>
      <w:r>
        <w:t xml:space="preserve">Build a proactive retention workflow for the first 6 months of the customer lifecycle, when churn risk is highest.</w:t>
      </w:r>
    </w:p>
    <w:p>
      <w:pPr>
        <w:pStyle w:val="Heading1"/>
        <w:spacing w:after="150" w:before="300"/>
      </w:pPr>
      <w:r>
        <w:t xml:space="preserve">Assumptions &amp; Limitations</w:t>
      </w:r>
    </w:p>
    <w:p>
      <w:pPr>
        <w:pStyle w:val="ListParagraph"/>
        <w:numPr>
          <w:ilvl w:val="0"/>
          <w:numId w:val="1"/>
        </w:numPr>
        <w:spacing w:after="120"/>
      </w:pPr>
      <w:r>
        <w:t xml:space="preserve">Churn is measured at a single point in time (a snapshot), not tracked longitudinally — this analysis does not capture seasonality or time-based trends.</w:t>
      </w:r>
    </w:p>
    <w:p>
      <w:pPr>
        <w:pStyle w:val="ListParagraph"/>
        <w:numPr>
          <w:ilvl w:val="0"/>
          <w:numId w:val="1"/>
        </w:numPr>
        <w:spacing w:after="120"/>
      </w:pPr>
      <w:r>
        <w:t xml:space="preserve">Revenue-at-risk was not quantified in dollar terms in this phase, as monetary values were not the focus of this analysis; a follow-on model could translate churn rate into revenue impact using average monthly charges.</w:t>
      </w:r>
    </w:p>
    <w:p>
      <w:pPr>
        <w:pStyle w:val="ListParagraph"/>
        <w:numPr>
          <w:ilvl w:val="0"/>
          <w:numId w:val="1"/>
        </w:numPr>
        <w:spacing w:after="120"/>
      </w:pPr>
      <w:r>
        <w:t xml:space="preserve">Findings are based on a public dataset intended for analysis practice and may not directly reflect any single company's live customer base.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2026-07-22T23:51:19.214Z</dcterms:created>
  <dcterms:modified xsi:type="dcterms:W3CDTF">2026-07-22T23:51:19.229Z</dcterms:modified>
</cp:coreProperties>
</file>

<file path=docProps/custom.xml><?xml version="1.0" encoding="utf-8"?>
<Properties xmlns="http://schemas.openxmlformats.org/officeDocument/2006/custom-properties" xmlns:vt="http://schemas.openxmlformats.org/officeDocument/2006/docPropsVTypes"/>
</file>