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and Validation of a Formal Ontology for Urban Climate Adaptation: Structural Alignment, Vocabulary Integrity, and Competency Assessment against IPCC AR6 and UNDRR 2025 Frameworks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representation of urban climate adaptation through formal ontologies is a prerequisite for achieving interoperability across the heterogeneous data landscapes of municipal planning, international climate finance, and earth systems science. As the global urban population continues to expand, reaching a point where cities house over 4.2 billion people, the complexity of managing climate-induced risks—ranging from acute shocks to chronic stresses—requires a rigorous conceptual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provides a comprehensive validation of a proposed ontology for urban climate adaptation, evaluating its structural alignment with the peer-reviewed literature, the integrity of its controlled vocabularies against established international standards, and its functional capacity to address the competency questions of diverse stakeholder personas. By grounding this analysis in the Intergovernmental Panel on Climate Change (IPCC) Sixth Assessment Report (AR6), the 2025 UNDRR Hazard Information Profiles (HIPs), and emerging frameworks for climate justice, this validation ensures that the ontology is not merely a theoretical construct but a defensible tool for transformative urban resilience.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Structural Alignment and Entity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integrity of an adaptation ontology is determined by its ability to mirror the causal mechanisms and operational workflows of the domain. The proposed architecture, comprising twenty entity types and forty-five relationships, seeks to encapsulate the "risk triangle" framework while providing the granularity necessary for financial and governance modeling.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Type Defensibility and Identity-Function Duality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classify adaptive solutions by identity (e.g., "Seawall," "Green Roof," "Early Warning System") rather than by function (e.g., "Wave Attenuation," "Stormwater Retention," "Risk Communication") is a central point of ontological debate. The literature on Basic Formal Ontology (BFO) provides a framework for this distinction by categorizing entities as either Continuants—objects that persist through time and maintain their identity—or Occurrents—processes and events that unfold over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context, a physical adaptation solution is an Independent Continuant, while its function is a Dependent Continuant or an Occurrent.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identity-based approach is highly defensible from a municipal planning and procurement perspective. Planners and engineers typically manage physical assets and specific projects as discrete units of investment. For instance, the CDP and ICLEI reporting platforms track adaptation projects based on their primary identity, such as "Built and natural flood defense systems" or "Tree planting".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facilitates the tracking of capital flows and project lifecycles. However, a significant risk of an identity-only classification is the failure to capture the multi-functional nature of modern adaptation. A single nature-based solution, such as an urban wetland, may simultaneously function as a flood buffer, a heat sink, and a carbon sequestration site.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address this, the ontology must ensure that functional attributes are modeled as properties or related occurrent nodes, allowing the "Identity by Function" (IBF) principle to be realized where phenotypic or operational outcomes are the primary interest.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tripartite division of Risk into Hazard, Vulnerability, and Exposure represents a total alignment with the IPCC AR6 WGII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conceptual split is essential because risk reduction can occur through different pathways: reducing the intensity of the hazard, decreasing the sensitivity of the system (vulnerability), or removing assets from the hazard’s path (exposure).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literature confirms that while exposure is often assessed through spatial density in hazard-prone areas, vulnerability is a socio-economic construct accounting for age, gender, and health status.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Keeping these as distinct entity types prevents the conflation of physical location with social susceptibility.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Finance, and the Mechanism-Instrument Distinction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ontology distinguishes between GovernanceStructure, Stakeholder, Plan, Mechanism, and FinancialInstrument. The differentiation between "Mechanism" and "FinancialInstrument" is particularly nuanced in climate finance literature. A "Mechanism" typically refers to a higher-level governance or pooling arrangement that coordinates multiple resources and projects.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Examples include the Clean Development Mechanism (CDM) or National Climate Funds, which act as financial architectures to blend international and national revenue streams.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a "FinancialInstrument" is a specific tool used to mobilize capital, such as a green bond, a concessional loan, or a grant.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literature on adaptation finance indicates that 75% of structures adopt a programmatic approach where finance is pooled through mechanisms, while only 25% are project-specific.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Maintaining this distinction allows the ontology to model the hierarchical relationship where a "Mechanism" (governance/process layer) "CHANNELS_THROUGH" a "FinancialInstrument" (tactical/capital layer) to reach a specific project.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Literary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Identity-based Continuant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BFO (ISO 21838-2)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for procurement; requires functional mapping.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IPCC AR6 Risk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IPCC AR6 WGII Ch.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alignment with climate science.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Asset presence in risk zones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IPCC AR6 WGII Ch.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spatial risk modeling.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Sensitivity and coping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IPCC AR6 WGII Ch.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Distinguishes social from physical risk.</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Pooled finance/governance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WRI/CPI Climate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systemic funding architectures.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capital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WRI/CPI Climate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tactical investment vehicles.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and Operational Relationship Types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forty-five relationship types in the ontology must support the causal modeling of risk reduction and the operational modeling of adaptation planning. The core of this modeling lies in the three IPCC AR6 risk-reduction pathways: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MITIGATES</w:t>
      </w:r>
      <w:r w:rsidDel="00000000" w:rsidR="00000000" w:rsidRPr="00000000">
        <w:rPr>
          <w:rFonts w:ascii="Google Sans" w:cs="Google Sans" w:eastAsia="Google Sans" w:hAnsi="Google Sans"/>
          <w:color w:val="1f1f1f"/>
          <w:rtl w:val="0"/>
        </w:rPr>
        <w:t xml:space="preserve">: This relationship should be restricted to the interaction between a Solution and a Hazard. It refers to the reduction of the physical force or frequency of the hazard itself.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REDUCES_EXPOSURE_OF</w:t>
      </w:r>
      <w:r w:rsidDel="00000000" w:rsidR="00000000" w:rsidRPr="00000000">
        <w:rPr>
          <w:rFonts w:ascii="Google Sans" w:cs="Google Sans" w:eastAsia="Google Sans" w:hAnsi="Google Sans"/>
          <w:color w:val="1f1f1f"/>
          <w:rtl w:val="0"/>
        </w:rPr>
        <w:t xml:space="preserve">: This models the separation of assets from hazards. For example, a managed retreat policy or a physical barrier like a seawall reduces the exposure of a population.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REDUCES</w:t>
      </w:r>
      <w:r w:rsidDel="00000000" w:rsidR="00000000" w:rsidRPr="00000000">
        <w:rPr>
          <w:rFonts w:ascii="Google Sans" w:cs="Google Sans" w:eastAsia="Google Sans" w:hAnsi="Google Sans"/>
          <w:color w:val="1f1f1f"/>
          <w:rtl w:val="0"/>
        </w:rPr>
        <w:t xml:space="preserve">: This relationship connects solutions to Vulnerability. It refers to building adaptive capacity, such as through social safety nets or health programs that decrease the sensitivity of a group to a hazard.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"DEPENDS_ON" relationship captures the interconnectedness of urban systems. The literature on infrastructure resilience highlights how cascading failures often stem from hidden dependencies, such as an early warning system depending on stable ICT and energy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Modeling these prerequisites is vital for cross-sectoral planning.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distinction between "BLOCKS" and "FACES" regarding barriers is a significant insight. In barrier analysis frameworks (BAEF), "BLOCKS" represents a direct inhibition where a factor, such as a lack of legal title or a specific policy lock-in, prevents the adoption of a technology.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"FACES" is an agent-centric relationship where a stakeholder, particularly those in "Frontline communities," struggles against systemic stresses like poverty or exclusion.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distinction allows the ontology to differentiate between a technical bottleneck and a socio-political burden.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Choices and Relationship Metadata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maintain certain data points as properties rather than elevating them to nodes is appropriate for metadata like "claim_ids" and "evidence_level." The literature on "Citation Justice" and the "Reliability Gap" in AI risk models suggests that tracking the provenance and confidence level of adaptation data is critical.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 "evidence_level" property, calibrated to IPCC language (e.g., "high confidence," "medium evidence"), allows analysts to weigh the results of a graph query based on scientific 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analysis identifies that "Vulnerability Factors" currently modeled as properties (e.g., age, gender) might be better elevated to nodes if the ontology is to support intersectional analysis. The IPCC AR6 emphasizes that vulnerabilities are shaped by intersecting drivers of inequality, and treating these as nodes would allow for complex join patterns across different marginalized groups.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Validation against Authoritative Frameworks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vocabularies ensure that the ontology can be integrated with global reporting systems like C40, ICLEI, and the UNDRR Sendai Framework. This validation identifies gaps and definition conflicts across hazards, solutions, systems, and populations.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Hazard Taxonomy: Bridging C40/Arup and UNDRR 2025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hazards.json vocabulary must navigate the transition from traditional climate hazard lists to the more comprehensive "multi-hazard" understanding established in the 2025 UNDRR-ISC Hazard Information Profiles (HIPs). The C40/Arup taxonomy provides five primary groups: Meteorological, Climatological, Hydrological, Geophysical, and Biological.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grouping is well-suited for city-level sectoral reporting (e.g., water, health).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2025 UNDRR HIPs represent a significant shift, organizing 281 hazards into eight types, including Extraterrestrial, Chemical, Technological, and Societal hazards.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gap analysis reveals that the proposed ontology is currently missing "Technological" hazards (e.g., power grid failure, cyber-attacks) and "Societal" hazards (e.g., civil unrest, mass displacement), which the IPCC identifies as critical drivers of cascading climate risk.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a heatwave (climatological) often cascades into power outages (technological), which in turn amplifies health risks for vulnerable groups.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Hazard Type (C40)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 (UNDRR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Conflict/Gap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Meteorological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Convective, Temperature-related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Cold" vs "Temperature-related" (Definition alignment needed).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Marine-related, Water-related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UNDRR 2025 separates "Coastal Flooding" from "Marine Heatwaves".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Climatological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Environmental Degradation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UNDRR 2025 groups Drought with Precipitation-related.</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Geophysical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Ground Failure, Seismic, Volcanic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C40 focus is narrower; UNDRR includes 25 Ground Failure hazards.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for modeling infrastructure cascading failure.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Societal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Important for modeling indirect impacts of climate migration.</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Categories and Urban Systems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solution-categories.json vocabulary is validated against ICLEI's five pathways: low-emission, nature-based, circular, resilient, and equitable and people-centered development.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ontology should reflect this by ensuring categories like "Nature-based solutions" and "Circular economy" are core taxonomy members.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Standard terms missing include "Ecosystem-based Adaptation" (EbA) and "Community-based Adaptation" (CbA), which are distinct from traditional structural engineering.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urban-systems.json, the ISO 37120 standard provides 19 categories of city services.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themes like Economy, Energy, Water, and Transportation are standard, the literature suggests that the ontology should include "Informal Systems" (e.g., informal water markets, community-led disaster response) to capture the realities of cities in the Global South.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current ISO framework is often criticized for its inability to measure sustainability and resilience in non-formal contexts.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Vulnerable Populations and Justice Dimensions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vulnerable-populations.json vocabulary is largely aligned with IPCC AR6 vulnerable groups (low-income, indigenous, women, children, elderly).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gap exists regarding "Intersectional Vulnerability." The field is moving toward identifying populations based on multiple overlapping identities and "housing tenure" (e.g., residents of co-ops, condos, or mobile homes).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mechanism_vocabulary in enums.json should align with the types defined by the Adaptation Fund and the Green Climate Fund (GCF). These include National Implementing Entities (NIEs), direct access mechanisms, and pooled facilities.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literature highlights that the most successful mechanisms work outside the political system and emphasize economic efficiency.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 Coverage and Use-Case Validation via Competency Questions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ontology's utility is measured by its ability to answer the forty-four competency questions (CQs) relevant to its target personas. A review of a sample of 10-15 CQs reveals both strengths and missing patterns.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Planner Persona: Solution Discovery and Peer Learning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Planners utilize the ontology for discovery and peer learning. CQs such as "Which cities have implemented managed retreat for coastal protection?" and "What are the common barriers to implementing green-blue infrastructure in high-density areas?" are answerable.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graph logic involves traversing from City to Plan to Solution and then to Barrier via the BLOCKS or FACES relationship.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literature suggests a missing query pattern for "Organizational Capacity." Planners frequently ask, "What departmental collaborations were required to implement this solution?".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ontology misses CQs that link Solution success to specific GovernanceStructure types or Stakeholder coalitions.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Analyst Persona: Outcomes, Evidence, and Equity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Analysts focus on evaluating outcomes and equity. CQs 38-44 on equity must align with the "Adaptation Justice Index," which considers recognitional, distributive, and procedural justice.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ontology supports this through its justice-dimension properties. However, a major query pattern missed is the "Maladaptation" risk: "Which projects have increased the risk for neighboring communities or future generations?".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IPCC warns that poorly planned adaptation can create "lock-ins" that limit future options.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equity CQs (38-44) align well with the frameworks of Shi (2024), which include Distributive, Procedural, Recognitional, and Epistemic justice.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example, a CQ asking about the inclusion of indigenous knowledge in a flood risk model directly addresses "Epistemic Justice".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Investor Persona: Benchmarking and Due Diligence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Investors require the ontology for due diligence and benchmarking. CQs like "Which financial instruments are most effective for mobilizing private capital for nature-based solutions?" are supported by the CHANNELS_THROUGH and FINANCES relationships.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missing query pattern for investors relates to "Traceability" and "Transparency." The literature highlights an "Opacity of Governance" as a bottleneck for reliable adaptation investment.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ontology should support CQs like "Which projects have forensically traceable outcomes and clear accountability mechanisms?".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Competency Question Sample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Traversal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Literature Gap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Discovery of barriers to early warning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Solution </w:t>
            </w:r>
            <w:r w:rsidDel="00000000" w:rsidR="00000000" w:rsidRPr="00000000">
              <w:rPr>
                <w:rFonts w:ascii="Google Sans" w:cs="Google Sans" w:eastAsia="Google Sans" w:hAnsi="Google Sans"/>
                <w:color w:val="1f1f1f"/>
                <w:shd w:fill="auto" w:val="clear"/>
              </w:rPr>
              <w:drawing>
                <wp:inline distB="19050" distT="19050" distL="19050" distR="19050">
                  <wp:extent cx="525661" cy="21982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661" cy="21982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Vertical/Horizontal coordination.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Impact of managed retreat on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 </w:t>
            </w:r>
            <w:r w:rsidDel="00000000" w:rsidR="00000000" w:rsidRPr="00000000">
              <w:rPr>
                <w:rFonts w:ascii="Google Sans" w:cs="Google Sans" w:eastAsia="Google Sans" w:hAnsi="Google Sans"/>
                <w:color w:val="1f1f1f"/>
                <w:shd w:fill="auto" w:val="clear"/>
              </w:rPr>
              <w:drawing>
                <wp:inline distB="19050" distT="19050" distL="19050" distR="19050">
                  <wp:extent cx="744364" cy="21949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44364" cy="2194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VulnerablePop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Maladaptation/Risk-shifting.</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Effectiveness of green bonds in EMDEs.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Instrument </w:t>
            </w:r>
            <w:r w:rsidDel="00000000" w:rsidR="00000000" w:rsidRPr="00000000">
              <w:rPr>
                <w:rFonts w:ascii="Google Sans" w:cs="Google Sans" w:eastAsia="Google Sans" w:hAnsi="Google Sans"/>
                <w:color w:val="1f1f1f"/>
                <w:shd w:fill="auto" w:val="clear"/>
              </w:rPr>
              <w:drawing>
                <wp:inline distB="19050" distT="19050" distL="19050" distR="19050">
                  <wp:extent cx="777851" cy="21817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77851" cy="2181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Governance transparency/traceability.</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Technology-Stack CQs (31-37)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CQs addressing the technology stack are appropriate for tech-enabled solutions like City Digital Twins (CDTs).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the literature on the "Reliability Gap" warns that AI-powered risk models (Big Data) often exclude local, place-based knowledge.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tech-stack CQs should be expanded to include "Data Sovereignty" and "Knowledge Representation" questions, ensuring that the tech is not just functional but also epistemically just.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Review of Design Decisions against Literature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decisions log reflects the philosophical stance of the ontology. Validating these against the literature reveals areas of alignment and potential mission creep.</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 Absorbing Planning Vocabulary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absorb the planning vocabulary (Vulnerability, temporal modeling, exposure) into a single ontology is the correct call. The literature on "Mainstreaming" urban resilience suggests that separating these vocabularies creates silos that hinder integrated planning.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Temporal modeling is especially critical because adaptation is an "ongoing, iterative process," and an ontology must be able to represent the evolution from "Reactive" to "Proactive" (ex-ante) risk reduction.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11: Non-Climate Shocks and Mission Creep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Extending the hazard vocabulary to non-climate shocks (e.g., earthquakes) is appropriate and reflects the Resilient Cities Network (RCN) taxonomy.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it may appear like mission creep, the literature on "Urban Resilience" defines it as the capacity to survive, adapt, and grow "no matter what kind of chronic stresses and acute shocks" a city experiences.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many cities, climate-induced flooding and earthquakes (geophysical) are managed through the same emergency preparedness infrastructure.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16: Adoption of the Shi 2024 Equity Framework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Adopting the four dimensions of justice (Distributive, Procedural, Recognitional, Epistemic) from Shi (2024) is a defensible and forward-looking choice.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the "tripartite model" (distributive, procedural, recognitional) is standard in environmental justice, scholars have criticized it for ignoring the "epistemic conditions of agency"—related to whose knowledge is made visible in decision-making.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inclusion of Epistemic justice is particularly relevant for the AI era, where data-driven risk assessments often ignore the qualitative lived experiences of residents.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Justice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(Shi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in Ontology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Fair distribution of goods and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Benefits/Costs properties on Solution nodes.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Fairness in decision-making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Stakeholder participation properties on Plan nodes.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Recognitional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Respect for diverse identities/histories.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Intersectionality modeled in VulnerablePop nodes.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Epistemic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Inclusion of local/marginalized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Evidence sources and community-knowledge nodes.</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21: IPCC Risk-Reduction Pathways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interpret the three IPCC AR6 risk-reduction pathways as direct relationships is a correct interpretation of the "Risk Triangle" methodology.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ontology should be cautious not to treat these pathways as mutually exclusive. A single "Solution" (e.g., Nature-based flood defense) can simultaneously "MITIGATE" a hazard (by absorbing water) and "REDUCE_EXPOSURE" (by serving as a buffer zone).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9: Vocabulary Enforcement vs. Free Text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criteria for enforcing vocabularies are sound. The literature on BIM-LCA interoperability shows that "semantic fragility" and "total automation failure" often result from trivial syntax variations in free-text fields.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Therefore, core taxonomic members like HazardType and UrbanSector must be strictly controlled, while descriptive metadata should allow for the flexibility of natural language.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Structural Misalignments and Vocabulary Gaps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validation process has identified several critical areas for optimization to ensure the ontology meets the needs of its three primary personas.</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Technological and Societal Hazards</w:t>
      </w:r>
      <w:r w:rsidDel="00000000" w:rsidR="00000000" w:rsidRPr="00000000">
        <w:rPr>
          <w:rFonts w:ascii="Google Sans" w:cs="Google Sans" w:eastAsia="Google Sans" w:hAnsi="Google Sans"/>
          <w:color w:val="1f1f1f"/>
          <w:rtl w:val="0"/>
        </w:rPr>
        <w:t xml:space="preserve">: The exclusion of these clusters from the hazard vocabulary represents a significant gap in modeling cascading risks. The 2025 UNDRR HIPs should be the primary reference for expansion.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Transboundary Risk and Maladaptation</w:t>
      </w:r>
      <w:r w:rsidDel="00000000" w:rsidR="00000000" w:rsidRPr="00000000">
        <w:rPr>
          <w:rFonts w:ascii="Google Sans" w:cs="Google Sans" w:eastAsia="Google Sans" w:hAnsi="Google Sans"/>
          <w:color w:val="1f1f1f"/>
          <w:rtl w:val="0"/>
        </w:rPr>
        <w:t xml:space="preserve">: The lack of relationships to model risk-shifting across boundaries is a potential failure point for analysts. The ontology should include a SHIFT_RISK_TO relationship.</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Governance Coalitions</w:t>
      </w:r>
      <w:r w:rsidDel="00000000" w:rsidR="00000000" w:rsidRPr="00000000">
        <w:rPr>
          <w:rFonts w:ascii="Google Sans" w:cs="Google Sans" w:eastAsia="Google Sans" w:hAnsi="Google Sans"/>
          <w:color w:val="1f1f1f"/>
          <w:rtl w:val="0"/>
        </w:rPr>
        <w:t xml:space="preserve">: The missing query patterns for organizational capacity and inter-departmental coordination should be addressed by adding CQs and linking Solution success to GovernanceStructure types.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Housing Tenure in Vulnerability</w:t>
      </w:r>
      <w:r w:rsidDel="00000000" w:rsidR="00000000" w:rsidRPr="00000000">
        <w:rPr>
          <w:rFonts w:ascii="Google Sans" w:cs="Google Sans" w:eastAsia="Google Sans" w:hAnsi="Google Sans"/>
          <w:color w:val="1f1f1f"/>
          <w:rtl w:val="0"/>
        </w:rPr>
        <w:t xml:space="preserve">: Vulnerable populations should be categorized not just by demographic data but by "Land and Property Regimes" (e.g., co-ops, informal tenure), which the literature identifies as a primary driver of exclusion from aid.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these refinements, the ontology will align with the cutting edge of adaptation science and provide a robust framework for managing the complex, intersectional risks facing the world's cities in the coming decades. The shift from a static asset-based view to a dynamic, justice-centered model of resilience is essential for ensuring that urban adaptation is not only effective but also equitable.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 Cities, settlements and key infrastructure | Climate Change 2022: Impacts, Adaptation and Vulnerability, accessed May 1, 2026, </w:t>
      </w:r>
      <w:hyperlink r:id="rId9">
        <w:r w:rsidDel="00000000" w:rsidR="00000000" w:rsidRPr="00000000">
          <w:rPr>
            <w:rFonts w:ascii="Google Sans" w:cs="Google Sans" w:eastAsia="Google Sans" w:hAnsi="Google Sans"/>
            <w:color w:val="0000ee"/>
            <w:sz w:val="24"/>
            <w:szCs w:val="24"/>
            <w:u w:val="single"/>
            <w:rtl w:val="0"/>
          </w:rPr>
          <w:t xml:space="preserve">https://www.ipcc.ch/report/ar6/wg2/chapter/chapter-6/</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Scenario-Based Visual Modeling Method for the Complex Products Lifecycle - MDPI, accessed May 1, 2026, </w:t>
      </w:r>
      <w:hyperlink r:id="rId10">
        <w:r w:rsidDel="00000000" w:rsidR="00000000" w:rsidRPr="00000000">
          <w:rPr>
            <w:rFonts w:ascii="Google Sans" w:cs="Google Sans" w:eastAsia="Google Sans" w:hAnsi="Google Sans"/>
            <w:color w:val="0000ee"/>
            <w:sz w:val="24"/>
            <w:szCs w:val="24"/>
            <w:u w:val="single"/>
            <w:rtl w:val="0"/>
          </w:rPr>
          <w:t xml:space="preserve">https://www.mdpi.com/2079-9292/15/6/1198</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Showcasing Cities' Investment Needs For Aligned Multilevel Climate ..., accessed May 1, 2026, </w:t>
      </w:r>
      <w:hyperlink r:id="rId11">
        <w:r w:rsidDel="00000000" w:rsidR="00000000" w:rsidRPr="00000000">
          <w:rPr>
            <w:rFonts w:ascii="Google Sans" w:cs="Google Sans" w:eastAsia="Google Sans" w:hAnsi="Google Sans"/>
            <w:color w:val="0000ee"/>
            <w:sz w:val="24"/>
            <w:szCs w:val="24"/>
            <w:u w:val="single"/>
            <w:rtl w:val="0"/>
          </w:rPr>
          <w:t xml:space="preserve">https://www.cdp.net/en/insights/showcasing-cities-investment-needs-for-aligned-multilevel-climate-action</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between Relatives given Complete Genotypes: from Identity by Descent to Identity by Function - PMC, accessed May 1,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https://pmc.ncbi.nlm.nih.gov/articles/PMC3817948/</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ARCHITETTURA E CULTURE DEL PROGETTO - AMS Dottorato, accessed May 1, 2026, </w:t>
      </w:r>
      <w:hyperlink r:id="rId13">
        <w:r w:rsidDel="00000000" w:rsidR="00000000" w:rsidRPr="00000000">
          <w:rPr>
            <w:rFonts w:ascii="Google Sans" w:cs="Google Sans" w:eastAsia="Google Sans" w:hAnsi="Google Sans"/>
            <w:color w:val="0000ee"/>
            <w:sz w:val="24"/>
            <w:szCs w:val="24"/>
            <w:u w:val="single"/>
            <w:rtl w:val="0"/>
          </w:rPr>
          <w:t xml:space="preserve">https://amsdottorato.unibo.it/id/eprint/12339/1/Saber_Aniseh_thesis.pdf</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CLIMATE RISK PROFILE - Global Center on Adaptation, accessed May 1, 2026, </w:t>
      </w:r>
      <w:hyperlink r:id="rId14">
        <w:r w:rsidDel="00000000" w:rsidR="00000000" w:rsidRPr="00000000">
          <w:rPr>
            <w:rFonts w:ascii="Google Sans" w:cs="Google Sans" w:eastAsia="Google Sans" w:hAnsi="Google Sans"/>
            <w:color w:val="0000ee"/>
            <w:sz w:val="24"/>
            <w:szCs w:val="24"/>
            <w:u w:val="single"/>
            <w:rtl w:val="0"/>
          </w:rPr>
          <w:t xml:space="preserve">https://gca.org/wp-content/uploads/2025/12/Urban-Climate-Risk-Profile-Guidelines-v.251023.pdf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for Policymakers | Climate Change 2022: Impacts, Adaptation and Vulnerability, accessed May 1, 2026, </w:t>
      </w:r>
      <w:hyperlink r:id="rId15">
        <w:r w:rsidDel="00000000" w:rsidR="00000000" w:rsidRPr="00000000">
          <w:rPr>
            <w:rFonts w:ascii="Google Sans" w:cs="Google Sans" w:eastAsia="Google Sans" w:hAnsi="Google Sans"/>
            <w:color w:val="0000ee"/>
            <w:sz w:val="24"/>
            <w:szCs w:val="24"/>
            <w:u w:val="single"/>
            <w:rtl w:val="0"/>
          </w:rPr>
          <w:t xml:space="preserve">https://www.ipcc.ch/report/ar6/wg2/chapter/summary-for-policymakers/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Financing Adaptation: 11 Financial Instruments that Help Build Climate Resilience, accessed May 1, 2026, </w:t>
      </w:r>
      <w:hyperlink r:id="rId16">
        <w:r w:rsidDel="00000000" w:rsidR="00000000" w:rsidRPr="00000000">
          <w:rPr>
            <w:rFonts w:ascii="Google Sans" w:cs="Google Sans" w:eastAsia="Google Sans" w:hAnsi="Google Sans"/>
            <w:color w:val="0000ee"/>
            <w:sz w:val="24"/>
            <w:szCs w:val="24"/>
            <w:u w:val="single"/>
            <w:rtl w:val="0"/>
          </w:rPr>
          <w:t xml:space="preserve">https://www.wri.org/technical-perspectives/climate-adaptation-finance-financial-instruments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instruments and mechanisms for climate change programs in Latin America and the Caribbean - IADB Publications, accessed May 1, 2026, </w:t>
      </w:r>
      <w:hyperlink r:id="rId17">
        <w:r w:rsidDel="00000000" w:rsidR="00000000" w:rsidRPr="00000000">
          <w:rPr>
            <w:rFonts w:ascii="Google Sans" w:cs="Google Sans" w:eastAsia="Google Sans" w:hAnsi="Google Sans"/>
            <w:color w:val="0000ee"/>
            <w:sz w:val="24"/>
            <w:szCs w:val="24"/>
            <w:u w:val="single"/>
            <w:rtl w:val="0"/>
          </w:rPr>
          <w:t xml:space="preserve">https://publications.iadb.org/publications/english/document/Financial-Instruments-and-Mechanisms-for-Climate-Change-Programs-in-Latin-America-and-the-Caribbean-A-Guide-for-Ministries-of-Finance.pdf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FINANCING INSTRUMENTS - Policy Brief, accessed May 1, 2026, </w:t>
      </w:r>
      <w:hyperlink r:id="rId18">
        <w:r w:rsidDel="00000000" w:rsidR="00000000" w:rsidRPr="00000000">
          <w:rPr>
            <w:rFonts w:ascii="Google Sans" w:cs="Google Sans" w:eastAsia="Google Sans" w:hAnsi="Google Sans"/>
            <w:color w:val="0000ee"/>
            <w:sz w:val="24"/>
            <w:szCs w:val="24"/>
            <w:u w:val="single"/>
            <w:rtl w:val="0"/>
          </w:rPr>
          <w:t xml:space="preserve">https://www.unisdr.org/files/13895_KigaliPolicyBrief31.pdf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bonds to blended finance: how a diverse range of financial instruments are financing climate adaptation and resilience - weADAPT, accessed May 1, 2026, </w:t>
      </w:r>
      <w:hyperlink r:id="rId19">
        <w:r w:rsidDel="00000000" w:rsidR="00000000" w:rsidRPr="00000000">
          <w:rPr>
            <w:rFonts w:ascii="Google Sans" w:cs="Google Sans" w:eastAsia="Google Sans" w:hAnsi="Google Sans"/>
            <w:color w:val="0000ee"/>
            <w:sz w:val="24"/>
            <w:szCs w:val="24"/>
            <w:u w:val="single"/>
            <w:rtl w:val="0"/>
          </w:rPr>
          <w:t xml:space="preserve">https://weadapt.org/knowledge-base/climate-finance/from-bonds-to-blended-finance-how-a-diverse-range-of-financial-instruments-are-financing-climate-adaptation-and-resilience/</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Barriers to the Transfer and Diffusion of Climate Technologies, accessed May 1, 2026, </w:t>
      </w:r>
      <w:hyperlink r:id="rId20">
        <w:r w:rsidDel="00000000" w:rsidR="00000000" w:rsidRPr="00000000">
          <w:rPr>
            <w:rFonts w:ascii="Google Sans" w:cs="Google Sans" w:eastAsia="Google Sans" w:hAnsi="Google Sans"/>
            <w:color w:val="0000ee"/>
            <w:sz w:val="24"/>
            <w:szCs w:val="24"/>
            <w:u w:val="single"/>
            <w:rtl w:val="0"/>
          </w:rPr>
          <w:t xml:space="preserve">https://unepccc.org/wp-content/uploads/sites/2/2019/04/overcoming-barriers-to-the-transfer-and-diffusion-of-climate-technologies-2nd-ed-3rdmarch.pdf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change adaptation and injustice in informal settlements: the case of ebo town, the gambia, accessed May 1, 2026, </w:t>
      </w:r>
      <w:hyperlink r:id="rId21">
        <w:r w:rsidDel="00000000" w:rsidR="00000000" w:rsidRPr="00000000">
          <w:rPr>
            <w:rFonts w:ascii="Google Sans" w:cs="Google Sans" w:eastAsia="Google Sans" w:hAnsi="Google Sans"/>
            <w:color w:val="0000ee"/>
            <w:sz w:val="24"/>
            <w:szCs w:val="24"/>
            <w:u w:val="single"/>
            <w:rtl w:val="0"/>
          </w:rPr>
          <w:t xml:space="preserve">https://open.metu.edu.tr/bitstream/handle/11511/113715/10703105%20.pdf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Mainstreaming urban resilience - TERI, accessed May 1, 2026, </w:t>
      </w:r>
      <w:hyperlink r:id="rId22">
        <w:r w:rsidDel="00000000" w:rsidR="00000000" w:rsidRPr="00000000">
          <w:rPr>
            <w:rFonts w:ascii="Google Sans" w:cs="Google Sans" w:eastAsia="Google Sans" w:hAnsi="Google Sans"/>
            <w:color w:val="0000ee"/>
            <w:sz w:val="24"/>
            <w:szCs w:val="24"/>
            <w:u w:val="single"/>
            <w:rtl w:val="0"/>
          </w:rPr>
          <w:t xml:space="preserve">https://www.teriin.org/sites/default/files/2020-02/mainstreaming-urban-resilience.pdf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the Climate Resilience of Canadian Infrastructure - International Institute for Sustainable Development (IISD), accessed May 1, 2026, </w:t>
      </w:r>
      <w:hyperlink r:id="rId23">
        <w:r w:rsidDel="00000000" w:rsidR="00000000" w:rsidRPr="00000000">
          <w:rPr>
            <w:rFonts w:ascii="Google Sans" w:cs="Google Sans" w:eastAsia="Google Sans" w:hAnsi="Google Sans"/>
            <w:color w:val="0000ee"/>
            <w:sz w:val="24"/>
            <w:szCs w:val="24"/>
            <w:u w:val="single"/>
            <w:rtl w:val="0"/>
          </w:rPr>
          <w:t xml:space="preserve">https://www.iisd.org/system/files/2021-07/climate-resilience-canadian-infrastructure-en.pdf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Semantic Gap: A Review of Data Interoperability Challenges and Advanced Methodologies from BIM to LCA - MDPI, accessed May 1, 2026, </w:t>
      </w:r>
      <w:hyperlink r:id="rId24">
        <w:r w:rsidDel="00000000" w:rsidR="00000000" w:rsidRPr="00000000">
          <w:rPr>
            <w:rFonts w:ascii="Google Sans" w:cs="Google Sans" w:eastAsia="Google Sans" w:hAnsi="Google Sans"/>
            <w:color w:val="0000ee"/>
            <w:sz w:val="24"/>
            <w:szCs w:val="24"/>
            <w:u w:val="single"/>
            <w:rtl w:val="0"/>
          </w:rPr>
          <w:t xml:space="preserve">https://www.mdpi.com/2071-1050/18/7/3352</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Resilience to Climate Change, accessed May 1, 2026, </w:t>
      </w:r>
      <w:hyperlink r:id="rId25">
        <w:r w:rsidDel="00000000" w:rsidR="00000000" w:rsidRPr="00000000">
          <w:rPr>
            <w:rFonts w:ascii="Google Sans" w:cs="Google Sans" w:eastAsia="Google Sans" w:hAnsi="Google Sans"/>
            <w:color w:val="0000ee"/>
            <w:sz w:val="24"/>
            <w:szCs w:val="24"/>
            <w:u w:val="single"/>
            <w:rtl w:val="0"/>
          </w:rPr>
          <w:t xml:space="preserve">https://climate-advisory-board.europa.eu/reports-and-publications/20260217_adaptation-report.pdf/@@download/file</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 ANALYSIS AND ENABLING FRAMEWORK OF ADAPTATION TECHNOLOGIES FOR PAPUA NEW GUINEA JUNE 2025 - UNFCCC, accessed May 1, 2026, </w:t>
      </w:r>
      <w:hyperlink r:id="rId26">
        <w:r w:rsidDel="00000000" w:rsidR="00000000" w:rsidRPr="00000000">
          <w:rPr>
            <w:rFonts w:ascii="Google Sans" w:cs="Google Sans" w:eastAsia="Google Sans" w:hAnsi="Google Sans"/>
            <w:color w:val="0000ee"/>
            <w:sz w:val="24"/>
            <w:szCs w:val="24"/>
            <w:u w:val="single"/>
            <w:rtl w:val="0"/>
          </w:rPr>
          <w:t xml:space="preserve">https://unfccc.int/ttclear/TNA/PNG-BAEF-adaptation-2025.pdf</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people adapt together? An empirically ... - Frontiers, accessed May 1, 2026,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https://www.frontiersin.org/journals/climate/articles/10.3389/fclim.2023.1213852/full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Equitable Adaptation Legal &amp; Policy Toolkit » Introduction - Georgetown Climate Center, accessed May 1, 2026, </w:t>
      </w:r>
      <w:hyperlink r:id="rId28">
        <w:r w:rsidDel="00000000" w:rsidR="00000000" w:rsidRPr="00000000">
          <w:rPr>
            <w:rFonts w:ascii="Google Sans" w:cs="Google Sans" w:eastAsia="Google Sans" w:hAnsi="Google Sans"/>
            <w:color w:val="0000ee"/>
            <w:sz w:val="24"/>
            <w:szCs w:val="24"/>
            <w:u w:val="single"/>
            <w:rtl w:val="0"/>
          </w:rPr>
          <w:t xml:space="preserve">https://www.georgetownclimate.org/adaptation/toolkits/equitable-adaptation-toolkit/introduction.html?full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Logic Monopoly to Social Contract: Separation of Power and the Institutional Foundations for Autonomous Agent Economies - arXiv, accessed May 1, 2026, </w:t>
      </w:r>
      <w:hyperlink r:id="rId29">
        <w:r w:rsidDel="00000000" w:rsidR="00000000" w:rsidRPr="00000000">
          <w:rPr>
            <w:rFonts w:ascii="Google Sans" w:cs="Google Sans" w:eastAsia="Google Sans" w:hAnsi="Google Sans"/>
            <w:color w:val="0000ee"/>
            <w:sz w:val="24"/>
            <w:szCs w:val="24"/>
            <w:u w:val="single"/>
            <w:rtl w:val="0"/>
          </w:rPr>
          <w:t xml:space="preserve">https://arxiv.org/html/2603.25100v1</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Viewing Citation Analysis Through the Lens of Citation Justice | KULA, accessed May 1, 2026, </w:t>
      </w:r>
      <w:hyperlink r:id="rId30">
        <w:r w:rsidDel="00000000" w:rsidR="00000000" w:rsidRPr="00000000">
          <w:rPr>
            <w:rFonts w:ascii="Google Sans" w:cs="Google Sans" w:eastAsia="Google Sans" w:hAnsi="Google Sans"/>
            <w:color w:val="0000ee"/>
            <w:sz w:val="24"/>
            <w:szCs w:val="24"/>
            <w:u w:val="single"/>
            <w:rtl w:val="0"/>
          </w:rPr>
          <w:t xml:space="preserve">https://kula.uvic.ca/index.php/kula/article/view/305/598</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Urban Climate Change Planning Advance Social Justice? - ResearchGate, accessed May 1,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https://www.researchgate.net/publication/371863637_How_Should_Urban_Climate_Change_Planning_Advance_Social_Justice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Climate Hazard Taxonomy - C40 Cities, accessed May 1, 2026, </w:t>
      </w:r>
      <w:hyperlink r:id="rId32">
        <w:r w:rsidDel="00000000" w:rsidR="00000000" w:rsidRPr="00000000">
          <w:rPr>
            <w:rFonts w:ascii="Google Sans" w:cs="Google Sans" w:eastAsia="Google Sans" w:hAnsi="Google Sans"/>
            <w:color w:val="0000ee"/>
            <w:sz w:val="24"/>
            <w:szCs w:val="24"/>
            <w:u w:val="single"/>
            <w:rtl w:val="0"/>
          </w:rPr>
          <w:t xml:space="preserve">https://www.c40.org/wp-content/static/researches/images/33_C40_Arup_Climate_Hazard_Typology.original.pdf?1426352208</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Hazard Information Profiles (HIPs) | PreventionWeb, accessed May 1, 2026, </w:t>
      </w:r>
      <w:hyperlink r:id="rId33">
        <w:r w:rsidDel="00000000" w:rsidR="00000000" w:rsidRPr="00000000">
          <w:rPr>
            <w:rFonts w:ascii="Google Sans" w:cs="Google Sans" w:eastAsia="Google Sans" w:hAnsi="Google Sans"/>
            <w:color w:val="0000ee"/>
            <w:sz w:val="24"/>
            <w:szCs w:val="24"/>
            <w:u w:val="single"/>
            <w:rtl w:val="0"/>
          </w:rPr>
          <w:t xml:space="preserve">https://www.preventionweb.net/drr-glossary/hips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 definition and classification review: Technical report (2025) - UNDRR, accessed May 1, 2026, </w:t>
      </w:r>
      <w:hyperlink r:id="rId34">
        <w:r w:rsidDel="00000000" w:rsidR="00000000" w:rsidRPr="00000000">
          <w:rPr>
            <w:rFonts w:ascii="Google Sans" w:cs="Google Sans" w:eastAsia="Google Sans" w:hAnsi="Google Sans"/>
            <w:color w:val="0000ee"/>
            <w:sz w:val="24"/>
            <w:szCs w:val="24"/>
            <w:u w:val="single"/>
            <w:rtl w:val="0"/>
          </w:rPr>
          <w:t xml:space="preserve">https://www.undrr.org/publication/documents-and-publications/hazard-definition-and-classification-review-technical-report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UNDRR-ISC Hazard Information Profiles (HIPs) 2025 update - University College London, accessed May 1, 2026, </w:t>
      </w:r>
      <w:hyperlink r:id="rId35">
        <w:r w:rsidDel="00000000" w:rsidR="00000000" w:rsidRPr="00000000">
          <w:rPr>
            <w:rFonts w:ascii="Google Sans" w:cs="Google Sans" w:eastAsia="Google Sans" w:hAnsi="Google Sans"/>
            <w:color w:val="0000ee"/>
            <w:sz w:val="24"/>
            <w:szCs w:val="24"/>
            <w:u w:val="single"/>
            <w:rtl w:val="0"/>
          </w:rPr>
          <w:t xml:space="preserve">https://www.ucl.ac.uk/epicentre/news/2025/sep/undrr-isc-hazard-information-profiles-hips-2025-update</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UNDRR-ISC Hazard Profiles 2025 Update | PDF | Disaster Risk Reduction - Scribd, accessed May 1,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https://www.scribd.com/document/908910974/HIPs-Report-2025</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ICLEI IN THE URBAN ERA, accessed May 1, 2026, </w:t>
      </w:r>
      <w:hyperlink r:id="rId37">
        <w:r w:rsidDel="00000000" w:rsidR="00000000" w:rsidRPr="00000000">
          <w:rPr>
            <w:rFonts w:ascii="Google Sans" w:cs="Google Sans" w:eastAsia="Google Sans" w:hAnsi="Google Sans"/>
            <w:color w:val="0000ee"/>
            <w:sz w:val="24"/>
            <w:szCs w:val="24"/>
            <w:u w:val="single"/>
            <w:rtl w:val="0"/>
          </w:rPr>
          <w:t xml:space="preserve">https://e-lib.iclei.org/wp-content/uploads/2019/07/ICLEI-in-the-Urban-Era-2019-edition.pdf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Climate Change Adaptation in Cities, accessed May 1, 2026, </w:t>
      </w:r>
      <w:hyperlink r:id="rId38">
        <w:r w:rsidDel="00000000" w:rsidR="00000000" w:rsidRPr="00000000">
          <w:rPr>
            <w:rFonts w:ascii="Google Sans" w:cs="Google Sans" w:eastAsia="Google Sans" w:hAnsi="Google Sans"/>
            <w:color w:val="0000ee"/>
            <w:sz w:val="24"/>
            <w:szCs w:val="24"/>
            <w:u w:val="single"/>
            <w:rtl w:val="0"/>
          </w:rPr>
          <w:t xml:space="preserve">https://climate-adapt.eea.europa.eu/en/metadata/guidances/guide-to-climate-change-adaptation-in-cities/11237802/@@download/file</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Adaptation – and Distinguishing It From Other Development Investments, accessed May 1, 2026, </w:t>
      </w:r>
      <w:hyperlink r:id="rId39">
        <w:r w:rsidDel="00000000" w:rsidR="00000000" w:rsidRPr="00000000">
          <w:rPr>
            <w:rFonts w:ascii="Google Sans" w:cs="Google Sans" w:eastAsia="Google Sans" w:hAnsi="Google Sans"/>
            <w:color w:val="0000ee"/>
            <w:sz w:val="24"/>
            <w:szCs w:val="24"/>
            <w:u w:val="single"/>
            <w:rtl w:val="0"/>
          </w:rPr>
          <w:t xml:space="preserve">https://www.adaptationcommunity.net/wp-content/uploads/2019/05/IISD_Defining-Adaptation_05.2019.pdf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37120:2018 City Indicators Overview | PDF | Municipal Solid Waste | Water - Scribd, accessed May 1, 2026,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https://www.scribd.com/document/718632726/List-of-ISO-37120-2018-Indicators-WCCD</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plans for sustainable development in Arctic cities - PMC, accessed May 1,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https://pmc.ncbi.nlm.nih.gov/articles/PMC11183006/</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Shelters in the Storm: Transnational Perspectives on Housing ..., accessed May 1, 2026, </w:t>
      </w:r>
      <w:hyperlink r:id="rId42">
        <w:r w:rsidDel="00000000" w:rsidR="00000000" w:rsidRPr="00000000">
          <w:rPr>
            <w:rFonts w:ascii="Google Sans" w:cs="Google Sans" w:eastAsia="Google Sans" w:hAnsi="Google Sans"/>
            <w:color w:val="0000ee"/>
            <w:sz w:val="24"/>
            <w:szCs w:val="24"/>
            <w:u w:val="single"/>
            <w:rtl w:val="0"/>
          </w:rPr>
          <w:t xml:space="preserve">https://utppublishing.com/doi/full/10.3138/jccpe-2025-0011</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climate justice pillars vis-à-vis urban form adaptation to climate change: A review, accessed May 1,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https://www.researchgate.net/publication/353996470_The_climate_justice_pillars_vis-a-vis_urban_form_adaptation_to_climate_change_A_review</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Connecting climate justice and adaptation planning: An ..., accessed May 1,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https://www.researchgate.net/publication/362364110_Connecting_climate_justice_and_adaptation_planning_An_adaptation_justice_index</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City digital twins for urban resilience - Taylor &amp; Francis, accessed May 1, 2026, </w:t>
      </w:r>
      <w:hyperlink r:id="rId45">
        <w:r w:rsidDel="00000000" w:rsidR="00000000" w:rsidRPr="00000000">
          <w:rPr>
            <w:rFonts w:ascii="Google Sans" w:cs="Google Sans" w:eastAsia="Google Sans" w:hAnsi="Google Sans"/>
            <w:color w:val="0000ee"/>
            <w:sz w:val="24"/>
            <w:szCs w:val="24"/>
            <w:u w:val="single"/>
            <w:rtl w:val="0"/>
          </w:rPr>
          <w:t xml:space="preserve">https://www.tandfonline.com/doi/full/10.1080/17538947.2023.2264827</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Resilient Tashkent - Documents &amp; Reports - World Bank, accessed May 1, 2026, </w:t>
      </w:r>
      <w:hyperlink r:id="rId46">
        <w:r w:rsidDel="00000000" w:rsidR="00000000" w:rsidRPr="00000000">
          <w:rPr>
            <w:rFonts w:ascii="Google Sans" w:cs="Google Sans" w:eastAsia="Google Sans" w:hAnsi="Google Sans"/>
            <w:color w:val="0000ee"/>
            <w:sz w:val="24"/>
            <w:szCs w:val="24"/>
            <w:u w:val="single"/>
            <w:rtl w:val="0"/>
          </w:rPr>
          <w:t xml:space="preserve">https://documents1.worldbank.org/curated/en/099920008232232662/pdf/P172790096ad9e033085d10624b0955f4a8.pdf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UDI editorial: resilience, well-being and urban design - PMC, accessed May 1,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https://pmc.ncbi.nlm.nih.gov/articles/PMC10199816/</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Embedding Justice Considerations in Climate Resilience - Taylor &amp; Francis, accessed May 1, 2026, </w:t>
      </w:r>
      <w:hyperlink r:id="rId48">
        <w:r w:rsidDel="00000000" w:rsidR="00000000" w:rsidRPr="00000000">
          <w:rPr>
            <w:rFonts w:ascii="Google Sans" w:cs="Google Sans" w:eastAsia="Google Sans" w:hAnsi="Google Sans"/>
            <w:color w:val="0000ee"/>
            <w:sz w:val="24"/>
            <w:szCs w:val="24"/>
            <w:u w:val="single"/>
            <w:rtl w:val="0"/>
          </w:rPr>
          <w:t xml:space="preserve">https://www.tandfonline.com/doi/full/10.1080/21550085.2023.2197824</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Justice Considerations in Climate Resilience - TU Delft Research Portal, accessed May 1, 2026, </w:t>
      </w:r>
      <w:hyperlink r:id="rId49">
        <w:r w:rsidDel="00000000" w:rsidR="00000000" w:rsidRPr="00000000">
          <w:rPr>
            <w:rFonts w:ascii="Google Sans" w:cs="Google Sans" w:eastAsia="Google Sans" w:hAnsi="Google Sans"/>
            <w:color w:val="0000ee"/>
            <w:sz w:val="24"/>
            <w:szCs w:val="24"/>
            <w:u w:val="single"/>
            <w:rtl w:val="0"/>
          </w:rPr>
          <w:t xml:space="preserve">https://research.tudelft.nl/files/151969556/Embedding_Justice_Considerations_in_Climate_Resilience.pdf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Intersectional climate action: the role of community-based organisations in urban climate justice - Taylor &amp; Francis, accessed May 1, 2026, </w:t>
      </w:r>
      <w:hyperlink r:id="rId50">
        <w:r w:rsidDel="00000000" w:rsidR="00000000" w:rsidRPr="00000000">
          <w:rPr>
            <w:rFonts w:ascii="Google Sans" w:cs="Google Sans" w:eastAsia="Google Sans" w:hAnsi="Google Sans"/>
            <w:color w:val="0000ee"/>
            <w:sz w:val="24"/>
            <w:szCs w:val="24"/>
            <w:u w:val="single"/>
            <w:rtl w:val="0"/>
          </w:rPr>
          <w:t xml:space="preserve">https://www.tandfonline.com/doi/full/10.1080/13549839.2024.2315992</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Sustainable Cities in the Light of ISO 37120 and 37101 Standards: A Systematic Review and the Contribution of a Theoretical Framework - MDPI, accessed May 1, 2026, </w:t>
      </w:r>
      <w:hyperlink r:id="rId51">
        <w:r w:rsidDel="00000000" w:rsidR="00000000" w:rsidRPr="00000000">
          <w:rPr>
            <w:rFonts w:ascii="Google Sans" w:cs="Google Sans" w:eastAsia="Google Sans" w:hAnsi="Google Sans"/>
            <w:color w:val="0000ee"/>
            <w:sz w:val="24"/>
            <w:szCs w:val="24"/>
            <w:u w:val="single"/>
            <w:rtl w:val="0"/>
          </w:rPr>
          <w:t xml:space="preserve">https://www.mdpi.com/2413-8851/9/9/368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718632726/List-of-ISO-37120-2018-Indicators-WCCD" TargetMode="External"/><Relationship Id="rId42" Type="http://schemas.openxmlformats.org/officeDocument/2006/relationships/hyperlink" Target="https://utppublishing.com/doi/full/10.3138/jccpe-2025-0011" TargetMode="External"/><Relationship Id="rId41" Type="http://schemas.openxmlformats.org/officeDocument/2006/relationships/hyperlink" Target="https://pmc.ncbi.nlm.nih.gov/articles/PMC11183006/" TargetMode="External"/><Relationship Id="rId44" Type="http://schemas.openxmlformats.org/officeDocument/2006/relationships/hyperlink" Target="https://www.researchgate.net/publication/362364110_Connecting_climate_justice_and_adaptation_planning_An_adaptation_justice_index" TargetMode="External"/><Relationship Id="rId43" Type="http://schemas.openxmlformats.org/officeDocument/2006/relationships/hyperlink" Target="https://www.researchgate.net/publication/353996470_The_climate_justice_pillars_vis-a-vis_urban_form_adaptation_to_climate_change_A_review" TargetMode="External"/><Relationship Id="rId46" Type="http://schemas.openxmlformats.org/officeDocument/2006/relationships/hyperlink" Target="https://documents1.worldbank.org/curated/en/099920008232232662/pdf/P172790096ad9e033085d10624b0955f4a8.pdf" TargetMode="External"/><Relationship Id="rId45" Type="http://schemas.openxmlformats.org/officeDocument/2006/relationships/hyperlink" Target="https://www.tandfonline.com/doi/full/10.1080/17538947.2023.22648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pcc.ch/report/ar6/wg2/chapter/chapter-6/" TargetMode="External"/><Relationship Id="rId48" Type="http://schemas.openxmlformats.org/officeDocument/2006/relationships/hyperlink" Target="https://www.tandfonline.com/doi/full/10.1080/21550085.2023.2197824" TargetMode="External"/><Relationship Id="rId47" Type="http://schemas.openxmlformats.org/officeDocument/2006/relationships/hyperlink" Target="https://pmc.ncbi.nlm.nih.gov/articles/PMC10199816/" TargetMode="External"/><Relationship Id="rId49" Type="http://schemas.openxmlformats.org/officeDocument/2006/relationships/hyperlink" Target="https://research.tudelft.nl/files/151969556/Embedding_Justice_Considerations_in_Climate_Resilience.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researchgate.net/publication/371863637_How_Should_Urban_Climate_Change_Planning_Advance_Social_Justice" TargetMode="External"/><Relationship Id="rId30" Type="http://schemas.openxmlformats.org/officeDocument/2006/relationships/hyperlink" Target="https://kula.uvic.ca/index.php/kula/article/view/305/598" TargetMode="External"/><Relationship Id="rId33" Type="http://schemas.openxmlformats.org/officeDocument/2006/relationships/hyperlink" Target="https://www.preventionweb.net/drr-glossary/hips" TargetMode="External"/><Relationship Id="rId32" Type="http://schemas.openxmlformats.org/officeDocument/2006/relationships/hyperlink" Target="https://www.c40.org/wp-content/static/researches/images/33_C40_Arup_Climate_Hazard_Typology.original.pdf?1426352208" TargetMode="External"/><Relationship Id="rId35" Type="http://schemas.openxmlformats.org/officeDocument/2006/relationships/hyperlink" Target="https://www.ucl.ac.uk/epicentre/news/2025/sep/undrr-isc-hazard-information-profiles-hips-2025-update" TargetMode="External"/><Relationship Id="rId34" Type="http://schemas.openxmlformats.org/officeDocument/2006/relationships/hyperlink" Target="https://www.undrr.org/publication/documents-and-publications/hazard-definition-and-classification-review-technical-report" TargetMode="External"/><Relationship Id="rId37" Type="http://schemas.openxmlformats.org/officeDocument/2006/relationships/hyperlink" Target="https://e-lib.iclei.org/wp-content/uploads/2019/07/ICLEI-in-the-Urban-Era-2019-edition.pdf" TargetMode="External"/><Relationship Id="rId36" Type="http://schemas.openxmlformats.org/officeDocument/2006/relationships/hyperlink" Target="https://www.scribd.com/document/908910974/HIPs-Report-2025" TargetMode="External"/><Relationship Id="rId39" Type="http://schemas.openxmlformats.org/officeDocument/2006/relationships/hyperlink" Target="https://www.adaptationcommunity.net/wp-content/uploads/2019/05/IISD_Defining-Adaptation_05.2019.pdf" TargetMode="External"/><Relationship Id="rId38" Type="http://schemas.openxmlformats.org/officeDocument/2006/relationships/hyperlink" Target="https://climate-adapt.eea.europa.eu/en/metadata/guidances/guide-to-climate-change-adaptation-in-cities/11237802/@@download/file" TargetMode="External"/><Relationship Id="rId20" Type="http://schemas.openxmlformats.org/officeDocument/2006/relationships/hyperlink" Target="https://unepccc.org/wp-content/uploads/sites/2/2019/04/overcoming-barriers-to-the-transfer-and-diffusion-of-climate-technologies-2nd-ed-3rdmarch.pdf" TargetMode="External"/><Relationship Id="rId22" Type="http://schemas.openxmlformats.org/officeDocument/2006/relationships/hyperlink" Target="https://www.teriin.org/sites/default/files/2020-02/mainstreaming-urban-resilience.pdf" TargetMode="External"/><Relationship Id="rId21" Type="http://schemas.openxmlformats.org/officeDocument/2006/relationships/hyperlink" Target="https://open.metu.edu.tr/bitstream/handle/11511/113715/10703105%20.pdf" TargetMode="External"/><Relationship Id="rId24" Type="http://schemas.openxmlformats.org/officeDocument/2006/relationships/hyperlink" Target="https://www.mdpi.com/2071-1050/18/7/3352" TargetMode="External"/><Relationship Id="rId23" Type="http://schemas.openxmlformats.org/officeDocument/2006/relationships/hyperlink" Target="https://www.iisd.org/system/files/2021-07/climate-resilience-canadian-infrastructure-en.pdf" TargetMode="External"/><Relationship Id="rId26" Type="http://schemas.openxmlformats.org/officeDocument/2006/relationships/hyperlink" Target="https://unfccc.int/ttclear/TNA/PNG-BAEF-adaptation-2025.pdf" TargetMode="External"/><Relationship Id="rId25" Type="http://schemas.openxmlformats.org/officeDocument/2006/relationships/hyperlink" Target="https://climate-advisory-board.europa.eu/reports-and-publications/20260217_adaptation-report.pdf/@@download/file" TargetMode="External"/><Relationship Id="rId28" Type="http://schemas.openxmlformats.org/officeDocument/2006/relationships/hyperlink" Target="https://www.georgetownclimate.org/adaptation/toolkits/equitable-adaptation-toolkit/introduction.html?full" TargetMode="External"/><Relationship Id="rId27" Type="http://schemas.openxmlformats.org/officeDocument/2006/relationships/hyperlink" Target="https://www.frontiersin.org/journals/climate/articles/10.3389/fclim.2023.1213852/full" TargetMode="External"/><Relationship Id="rId29" Type="http://schemas.openxmlformats.org/officeDocument/2006/relationships/hyperlink" Target="https://arxiv.org/html/2603.25100v1" TargetMode="External"/><Relationship Id="rId51" Type="http://schemas.openxmlformats.org/officeDocument/2006/relationships/hyperlink" Target="https://www.mdpi.com/2413-8851/9/9/368" TargetMode="External"/><Relationship Id="rId50" Type="http://schemas.openxmlformats.org/officeDocument/2006/relationships/hyperlink" Target="https://www.tandfonline.com/doi/full/10.1080/13549839.2024.2315992" TargetMode="External"/><Relationship Id="rId11" Type="http://schemas.openxmlformats.org/officeDocument/2006/relationships/hyperlink" Target="https://www.cdp.net/en/insights/showcasing-cities-investment-needs-for-aligned-multilevel-climate-action" TargetMode="External"/><Relationship Id="rId10" Type="http://schemas.openxmlformats.org/officeDocument/2006/relationships/hyperlink" Target="https://www.mdpi.com/2079-9292/15/6/1198" TargetMode="External"/><Relationship Id="rId13" Type="http://schemas.openxmlformats.org/officeDocument/2006/relationships/hyperlink" Target="https://amsdottorato.unibo.it/id/eprint/12339/1/Saber_Aniseh_thesis.pdf" TargetMode="External"/><Relationship Id="rId12" Type="http://schemas.openxmlformats.org/officeDocument/2006/relationships/hyperlink" Target="https://pmc.ncbi.nlm.nih.gov/articles/PMC3817948/" TargetMode="External"/><Relationship Id="rId15" Type="http://schemas.openxmlformats.org/officeDocument/2006/relationships/hyperlink" Target="https://www.ipcc.ch/report/ar6/wg2/chapter/summary-for-policymakers/" TargetMode="External"/><Relationship Id="rId14" Type="http://schemas.openxmlformats.org/officeDocument/2006/relationships/hyperlink" Target="https://gca.org/wp-content/uploads/2025/12/Urban-Climate-Risk-Profile-Guidelines-v.251023.pdf" TargetMode="External"/><Relationship Id="rId17" Type="http://schemas.openxmlformats.org/officeDocument/2006/relationships/hyperlink" Target="https://publications.iadb.org/publications/english/document/Financial-Instruments-and-Mechanisms-for-Climate-Change-Programs-in-Latin-America-and-the-Caribbean-A-Guide-for-Ministries-of-Finance.pdf" TargetMode="External"/><Relationship Id="rId16" Type="http://schemas.openxmlformats.org/officeDocument/2006/relationships/hyperlink" Target="https://www.wri.org/technical-perspectives/climate-adaptation-finance-financial-instruments" TargetMode="External"/><Relationship Id="rId19" Type="http://schemas.openxmlformats.org/officeDocument/2006/relationships/hyperlink" Target="https://weadapt.org/knowledge-base/climate-finance/from-bonds-to-blended-finance-how-a-diverse-range-of-financial-instruments-are-financing-climate-adaptation-and-resilience/" TargetMode="External"/><Relationship Id="rId18" Type="http://schemas.openxmlformats.org/officeDocument/2006/relationships/hyperlink" Target="https://www.unisdr.org/files/13895_KigaliPolicyBrief3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