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Product Narrative: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9"/>
          <w:szCs w:val="19"/>
          <w:highlight w:val="white"/>
          <w:rtl w:val="0"/>
        </w:rPr>
        <w:t xml:space="preserve">Diseases like diabetes, liver disease, kidney disorders, and urinary tract infections are painful and expensive for both patients and their insurance providers.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9"/>
          <w:szCs w:val="19"/>
          <w:highlight w:val="white"/>
          <w:rtl w:val="0"/>
        </w:rPr>
        <w:t xml:space="preserve">Right now, in many cases these diseases aren’t detected or treated until after they’ve become catastrophes. What if we could make early symptom detection the default for the ‘at-risk’ population?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9"/>
          <w:szCs w:val="19"/>
          <w:highlight w:val="white"/>
          <w:rtl w:val="0"/>
        </w:rPr>
        <w:t xml:space="preserve">Urinalysis reagent tests can accurately detect symptoms of these four diseases and more, but they aren’t widely used because they aren’t convenient enough for customers.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9"/>
          <w:szCs w:val="19"/>
          <w:highlight w:val="white"/>
          <w:rtl w:val="0"/>
        </w:rPr>
        <w:t xml:space="preserve">If symptom detection tests were convenient enough to become ubiquitous, we could catch millions of cases in the early and most treatable stages, saving hundreds of millions in healthcare costs.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sz w:val="19"/>
          <w:szCs w:val="19"/>
          <w:highlight w:val="white"/>
          <w:rtl w:val="0"/>
        </w:rPr>
        <w:t xml:space="preserve">Our proposed device would detect symptoms of all these diseases every time you use the toilet, without any extra effort, and automatically notify your primary care physician if it detects any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FRICTIONLESS SYMPTOM DETECTION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