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ewm304qrj2wj" w:id="0"/>
      <w:bookmarkEnd w:id="0"/>
      <w:r w:rsidDel="00000000" w:rsidR="00000000" w:rsidRPr="00000000">
        <w:rPr>
          <w:rtl w:val="0"/>
        </w:rPr>
        <w:t xml:space="preserve">McKinsey Team Stakeholder Map - UDevice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4500"/>
        <w:tblGridChange w:id="0">
          <w:tblGrid>
            <w:gridCol w:w="4860"/>
            <w:gridCol w:w="4500"/>
          </w:tblGrid>
        </w:tblGridChange>
      </w:tblGrid>
      <w:tr>
        <w:trPr>
          <w:trHeight w:val="3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High Influence / Low Availability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Keep Satisfied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Insurance Providers (potential customer)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High-risk patients (potential users)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Doctors/Primary Care Physicians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High Influence / High Availability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Actively Engage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Utsav, Abhiram, Jimmy, Andrew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Greg, Leland, J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Doug McElhaney (Company Champion)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Low Influence / Low Availability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Monitor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Hospitals (potential customer)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Lab researchers / Urine sampling experts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Insurance Group / Employers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Families / cohabitants of users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Lower-risk patients (potential users)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McKinsey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Non-scrum Cornell Tech classmates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Low Influence / High Availability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Keep informed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Philipp and David (lawyers)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Scrum Classmates (Frog, Verizon, Servy, Cantora, etc)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Cornell Tech students who have been especially helpful (Liz Ragavanis, Gabe Ruttner)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Cornell Tech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qqh4hzz72cvy" w:id="1"/>
      <w:bookmarkEnd w:id="1"/>
      <w:r w:rsidDel="00000000" w:rsidR="00000000" w:rsidRPr="00000000">
        <w:rPr>
          <w:rtl w:val="0"/>
        </w:rPr>
        <w:t xml:space="preserve">Stakeholder Touchpoints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How?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Utsav, Abhiram, Jimmy, Andrew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Daily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Whatsapp/Meet in person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Greg/ Leland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Email/ Meet in person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Philip and David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Once in 15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Email/ Meet in person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Doug McElhaney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Email/ Meet in person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Insurance Providers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Once in 15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Meet in Person/ Surveys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High Risk Patients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Once in 15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Meet in person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Doctors/Primary Care providers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Once a month/15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Meet in person/emails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Scrum Classmates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Meet during scrum meetings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Hospitals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Meet in person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Lab researchers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Insurance Group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Once in 15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Families / cohabitants of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Once a month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Surveys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Lower Risk patients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Once a month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Surveys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McKinsey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Once a month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