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 xml:space="preserve">Change Request - Job Seeker Kiosk Decommissioning</w:t>
      </w:r>
    </w:p>
    <w:p>
      <w:pPr>
        <w:pStyle w:val="Heading1"/>
      </w:pPr>
      <w:r>
        <w:t xml:space="preserve">Change summary</w:t>
      </w:r>
    </w:p>
    <w:tbl>
      <w:tblPr>
        <w:tblW w:w="9350" w:type="dxa"/>
        <w:tblBorders>
          <w:top w:val="single" w:sz="4" w:space="0" w:color="C9D0E0"/>
          <w:left w:val="single" w:sz="4" w:space="0" w:color="C9D0E0"/>
          <w:bottom w:val="single" w:sz="4" w:space="0" w:color="C9D0E0"/>
          <w:right w:val="single" w:sz="4" w:space="0" w:color="C9D0E0"/>
          <w:insideH w:val="single" w:sz="4" w:space="0" w:color="C9D0E0"/>
          <w:insideV w:val="single" w:sz="4" w:space="0" w:color="C9D0E0"/>
        </w:tblBorders>
        <w:tblLook w:val="04A0"/>
      </w:tblPr>
      <w:tblGrid>
        <w:gridCol w:w="4675"/>
        <w:gridCol w:w="4675"/>
      </w:tblGrid>
      <w:tr>
        <w:tc>
          <w:tcPr>
            <w:tcW w:w="4675" w:type="dxa"/>
            <w:shd w:val="clear" w:fill="E7EAF2"/>
            <w:vAlign w:val="top"/>
          </w:tcPr>
          <w:p>
            <w:r>
              <w:rPr>
                <w:b/>
              </w:rPr>
              <w:t xml:space="preserve">Field</w:t>
            </w:r>
          </w:p>
        </w:tc>
        <w:tc>
          <w:tcPr>
            <w:tcW w:w="4675" w:type="dxa"/>
            <w:shd w:val="clear" w:fill="E7EAF2"/>
            <w:vAlign w:val="top"/>
          </w:tcPr>
          <w:p>
            <w:r>
              <w:rPr>
                <w:b/>
              </w:rPr>
              <w:t xml:space="preserve">Value</w:t>
            </w:r>
          </w:p>
        </w:tc>
      </w:tr>
      <w:tr>
        <w:tc>
          <w:tcPr>
            <w:tcW w:w="4675" w:type="dxa"/>
            <w:vAlign w:val="top"/>
          </w:tcPr>
          <w:p>
            <w:r>
              <w:t xml:space="preserve">Change number</w:t>
            </w:r>
          </w:p>
        </w:tc>
        <w:tc>
          <w:tcPr>
            <w:tcW w:w="4675" w:type="dxa"/>
            <w:vAlign w:val="top"/>
          </w:tcPr>
          <w:p>
            <w:r>
              <w:rPr>
                <w:i/>
              </w:rPr>
              <w:t xml:space="preserve">ServiceNow reference</w:t>
            </w:r>
          </w:p>
        </w:tc>
      </w:tr>
      <w:tr>
        <w:tc>
          <w:tcPr>
            <w:tcW w:w="4675" w:type="dxa"/>
            <w:vAlign w:val="top"/>
          </w:tcPr>
          <w:p>
            <w:r>
              <w:t xml:space="preserve">Short description</w:t>
            </w:r>
          </w:p>
        </w:tc>
        <w:tc>
          <w:tcPr>
            <w:tcW w:w="4675" w:type="dxa"/>
            <w:vAlign w:val="top"/>
          </w:tcPr>
          <w:p>
            <w:r>
              <w:t xml:space="preserve">Remove every cloud component built for the Job Seeker Kiosk solution, superseded in full by Participant Kiosk V1.0</w:t>
            </w:r>
          </w:p>
        </w:tc>
      </w:tr>
      <w:tr>
        <w:tc>
          <w:tcPr>
            <w:tcW w:w="4675" w:type="dxa"/>
            <w:vAlign w:val="top"/>
          </w:tcPr>
          <w:p>
            <w:r>
              <w:t xml:space="preserve">Change type</w:t>
            </w:r>
          </w:p>
        </w:tc>
        <w:tc>
          <w:tcPr>
            <w:tcW w:w="4675" w:type="dxa"/>
            <w:vAlign w:val="top"/>
          </w:tcPr>
          <w:p>
            <w:r>
              <w:t xml:space="preserve">Normal</w:t>
            </w:r>
          </w:p>
        </w:tc>
      </w:tr>
      <w:tr>
        <w:tc>
          <w:tcPr>
            <w:tcW w:w="4675" w:type="dxa"/>
            <w:vAlign w:val="top"/>
          </w:tcPr>
          <w:p>
            <w:r>
              <w:t xml:space="preserve">Risk / impact</w:t>
            </w:r>
          </w:p>
        </w:tc>
        <w:tc>
          <w:tcPr>
            <w:tcW w:w="4675" w:type="dxa"/>
            <w:vAlign w:val="top"/>
          </w:tcPr>
          <w:p>
            <w:r>
              <w:t xml:space="preserve">Low. Every action reduces exposure: removes an internet-facing endpoint, an unused custom domain and a certificate authority</w:t>
            </w:r>
          </w:p>
        </w:tc>
      </w:tr>
      <w:tr>
        <w:tc>
          <w:tcPr>
            <w:tcW w:w="4675" w:type="dxa"/>
            <w:vAlign w:val="top"/>
          </w:tcPr>
          <w:p>
            <w:r>
              <w:t xml:space="preserve">Requester</w:t>
            </w:r>
          </w:p>
        </w:tc>
        <w:tc>
          <w:tcPr>
            <w:tcW w:w="4675" w:type="dxa"/>
            <w:vAlign w:val="top"/>
          </w:tcPr>
          <w:p>
            <w:r>
              <w:t xml:space="preserve">Digital Transformation and Architecture</w:t>
            </w:r>
          </w:p>
        </w:tc>
      </w:tr>
      <w:tr>
        <w:tc>
          <w:tcPr>
            <w:tcW w:w="4675" w:type="dxa"/>
            <w:vAlign w:val="top"/>
          </w:tcPr>
          <w:p>
            <w:r>
              <w:t xml:space="preserve">Implementer</w:t>
            </w:r>
          </w:p>
        </w:tc>
        <w:tc>
          <w:tcPr>
            <w:tcW w:w="4675" w:type="dxa"/>
            <w:vAlign w:val="top"/>
          </w:tcPr>
          <w:p>
            <w:r>
              <w:t xml:space="preserve">Cloud and Azure, with Identity and Endpoint</w:t>
            </w:r>
          </w:p>
        </w:tc>
      </w:tr>
      <w:tr>
        <w:tc>
          <w:tcPr>
            <w:tcW w:w="4675" w:type="dxa"/>
            <w:vAlign w:val="top"/>
          </w:tcPr>
          <w:p>
            <w:r>
              <w:t xml:space="preserve">Approver</w:t>
            </w:r>
          </w:p>
        </w:tc>
        <w:tc>
          <w:tcPr>
            <w:tcW w:w="4675" w:type="dxa"/>
            <w:vAlign w:val="top"/>
          </w:tcPr>
          <w:p>
            <w:r>
              <w:t xml:space="preserve">Change Advisory Board, with Cyber Security sign-off on the disposition tables below</w:t>
            </w:r>
          </w:p>
        </w:tc>
      </w:tr>
      <w:tr>
        <w:tc>
          <w:tcPr>
            <w:tcW w:w="4675" w:type="dxa"/>
            <w:vAlign w:val="top"/>
          </w:tcPr>
          <w:p>
            <w:r>
              <w:t xml:space="preserve">Trigger to start</w:t>
            </w:r>
          </w:p>
        </w:tc>
        <w:tc>
          <w:tcPr>
            <w:tcW w:w="4675" w:type="dxa"/>
            <w:vAlign w:val="top"/>
          </w:tcPr>
          <w:p>
            <w:r>
              <w:t xml:space="preserve">Participant Kiosk pilot passes its validation and test plan in full (Participant Kiosk DDD §9.6)</w:t>
            </w:r>
          </w:p>
        </w:tc>
      </w:tr>
      <w:tr>
        <w:tc>
          <w:tcPr>
            <w:tcW w:w="4675" w:type="dxa"/>
            <w:vAlign w:val="top"/>
          </w:tcPr>
          <w:p>
            <w:r>
              <w:t xml:space="preserve">Rollback deadline</w:t>
            </w:r>
          </w:p>
        </w:tc>
        <w:tc>
          <w:tcPr>
            <w:tcW w:w="4675" w:type="dxa"/>
            <w:vAlign w:val="top"/>
          </w:tcPr>
          <w:p>
            <w:r>
              <w:t xml:space="preserve">End of Stage 2 (30-day observation window). See Backout for the position after that</w:t>
            </w:r>
          </w:p>
        </w:tc>
      </w:tr>
    </w:tbl>
    <w:p>
      <w:pPr>
        <w:spacing w:after="160"/>
      </w:pPr>
      <w:r>
        <w:t xml:space="preserve"/>
      </w:r>
    </w:p>
    <w:p>
      <w:pPr>
        <w:pStyle w:val="Heading1"/>
      </w:pPr>
      <w:r>
        <w:t xml:space="preserve">Why this change</w:t>
      </w:r>
    </w:p>
    <w:p>
      <w:pPr>
        <w:ind w:left="360" w:hanging="360"/>
        <w:spacing w:after="60"/>
      </w:pPr>
      <w:r>
        <w:t xml:space="preserve">•  The Job Seeker Kiosk credential pipeline, identities and test environment have no remaining purpose once Participant Kiosk V1.0 is live.</w:t>
      </w:r>
    </w:p>
    <w:p>
      <w:pPr>
        <w:ind w:left="360" w:hanging="360"/>
        <w:spacing w:after="60"/>
      </w:pPr>
      <w:r>
        <w:t xml:space="preserve">•  A dormant tenant object, an unowned public endpoint and a Conditional Access exclusion that outlives its group are exactly what an RFFR assessor writes up, and what an attacker looks for.</w:t>
      </w:r>
    </w:p>
    <w:p>
      <w:pPr>
        <w:ind w:left="360" w:hanging="360"/>
        <w:spacing w:after="60"/>
      </w:pPr>
      <w:r>
        <w:t xml:space="preserve">•  Some of what was built is still needed by the Standard User and Developer AVD SOEs. This change separates deletion from handover so nothing needed is destroyed and nothing dormant is left "to be safe."</w:t>
      </w:r>
    </w:p>
    <w:p>
      <w:pPr>
        <w:pStyle w:val="Heading1"/>
      </w:pPr>
      <w:r>
        <w:t xml:space="preserve">Document control</w:t>
      </w:r>
    </w:p>
    <w:tbl>
      <w:tblPr>
        <w:tblW w:w="9350" w:type="dxa"/>
        <w:tblBorders>
          <w:top w:val="single" w:sz="4" w:space="0" w:color="C9D0E0"/>
          <w:left w:val="single" w:sz="4" w:space="0" w:color="C9D0E0"/>
          <w:bottom w:val="single" w:sz="4" w:space="0" w:color="C9D0E0"/>
          <w:right w:val="single" w:sz="4" w:space="0" w:color="C9D0E0"/>
          <w:insideH w:val="single" w:sz="4" w:space="0" w:color="C9D0E0"/>
          <w:insideV w:val="single" w:sz="4" w:space="0" w:color="C9D0E0"/>
        </w:tblBorders>
        <w:tblLook w:val="04A0"/>
      </w:tblPr>
      <w:tblGrid>
        <w:gridCol w:w="2337"/>
        <w:gridCol w:w="2337"/>
        <w:gridCol w:w="2337"/>
        <w:gridCol w:w="2337"/>
      </w:tblGrid>
      <w:tr>
        <w:tc>
          <w:tcPr>
            <w:tcW w:w="2337" w:type="dxa"/>
            <w:shd w:val="clear" w:fill="E7EAF2"/>
            <w:vAlign w:val="top"/>
          </w:tcPr>
          <w:p>
            <w:r>
              <w:rPr>
                <w:b/>
              </w:rPr>
              <w:t xml:space="preserve">Version</w:t>
            </w:r>
          </w:p>
        </w:tc>
        <w:tc>
          <w:tcPr>
            <w:tcW w:w="2337" w:type="dxa"/>
            <w:shd w:val="clear" w:fill="E7EAF2"/>
            <w:vAlign w:val="top"/>
          </w:tcPr>
          <w:p>
            <w:r>
              <w:rPr>
                <w:b/>
              </w:rPr>
              <w:t xml:space="preserve">Date</w:t>
            </w:r>
          </w:p>
        </w:tc>
        <w:tc>
          <w:tcPr>
            <w:tcW w:w="2337" w:type="dxa"/>
            <w:shd w:val="clear" w:fill="E7EAF2"/>
            <w:vAlign w:val="top"/>
          </w:tcPr>
          <w:p>
            <w:r>
              <w:rPr>
                <w:b/>
              </w:rPr>
              <w:t xml:space="preserve">Author</w:t>
            </w:r>
          </w:p>
        </w:tc>
        <w:tc>
          <w:tcPr>
            <w:tcW w:w="2337" w:type="dxa"/>
            <w:shd w:val="clear" w:fill="E7EAF2"/>
            <w:vAlign w:val="top"/>
          </w:tcPr>
          <w:p>
            <w:r>
              <w:rPr>
                <w:b/>
              </w:rPr>
              <w:t xml:space="preserve">What changed</w:t>
            </w:r>
          </w:p>
        </w:tc>
      </w:tr>
      <w:tr>
        <w:tc>
          <w:tcPr>
            <w:tcW w:w="2337" w:type="dxa"/>
            <w:vAlign w:val="top"/>
          </w:tcPr>
          <w:p>
            <w:r>
              <w:t xml:space="preserve">V1.2</w:t>
            </w:r>
          </w:p>
        </w:tc>
        <w:tc>
          <w:tcPr>
            <w:tcW w:w="2337" w:type="dxa"/>
            <w:vAlign w:val="top"/>
          </w:tcPr>
          <w:p>
            <w:r>
              <w:t xml:space="preserve">7/08/2026</w:t>
            </w:r>
          </w:p>
        </w:tc>
        <w:tc>
          <w:tcPr>
            <w:tcW w:w="2337" w:type="dxa"/>
            <w:vAlign w:val="top"/>
          </w:tcPr>
          <w:p>
            <w:r>
              <w:t xml:space="preserve">Shaun Struik</w:t>
            </w:r>
          </w:p>
        </w:tc>
        <w:tc>
          <w:tcPr>
            <w:tcW w:w="2337" w:type="dxa"/>
            <w:vAlign w:val="top"/>
          </w:tcPr>
          <w:p>
            <w:r>
              <w:t xml:space="preserve">Every Conditional Access policy, Intune profile and private endpoint listed individually. Log Analytics workspace, both kiosk NSGs and the kiosk route table changed from Repurpose to Delete. Private DNS zones changed from Repurpose to No action</w:t>
            </w:r>
          </w:p>
        </w:tc>
      </w:tr>
      <w:tr>
        <w:tc>
          <w:tcPr>
            <w:tcW w:w="2337" w:type="dxa"/>
            <w:vAlign w:val="top"/>
          </w:tcPr>
          <w:p>
            <w:r>
              <w:t xml:space="preserve">V1.1</w:t>
            </w:r>
          </w:p>
        </w:tc>
        <w:tc>
          <w:tcPr>
            <w:tcW w:w="2337" w:type="dxa"/>
            <w:vAlign w:val="top"/>
          </w:tcPr>
          <w:p>
            <w:r>
              <w:t xml:space="preserve">7/08/2026</w:t>
            </w:r>
          </w:p>
        </w:tc>
        <w:tc>
          <w:tcPr>
            <w:tcW w:w="2337" w:type="dxa"/>
            <w:vAlign w:val="top"/>
          </w:tcPr>
          <w:p>
            <w:r>
              <w:t xml:space="preserve">Shaun Struik</w:t>
            </w:r>
          </w:p>
        </w:tc>
        <w:tc>
          <w:tcPr>
            <w:tcW w:w="2337" w:type="dxa"/>
            <w:vAlign w:val="top"/>
          </w:tcPr>
          <w:p>
            <w:r>
              <w:t xml:space="preserve">apmkiosk.net.au corrected from separate tenant to custom domain on the existing tenant. 540 kiosk accounts corrected to never created. Added the AVD Functional Validation Environment (section 4)</w:t>
            </w:r>
          </w:p>
        </w:tc>
      </w:tr>
      <w:tr>
        <w:tc>
          <w:tcPr>
            <w:tcW w:w="2337" w:type="dxa"/>
            <w:vAlign w:val="top"/>
          </w:tcPr>
          <w:p>
            <w:r>
              <w:t xml:space="preserve">V1.0</w:t>
            </w:r>
          </w:p>
        </w:tc>
        <w:tc>
          <w:tcPr>
            <w:tcW w:w="2337" w:type="dxa"/>
            <w:vAlign w:val="top"/>
          </w:tcPr>
          <w:p>
            <w:r>
              <w:t xml:space="preserve">7/08/2026</w:t>
            </w:r>
          </w:p>
        </w:tc>
        <w:tc>
          <w:tcPr>
            <w:tcW w:w="2337" w:type="dxa"/>
            <w:vAlign w:val="top"/>
          </w:tcPr>
          <w:p>
            <w:r>
              <w:t xml:space="preserve">Shaun Struik</w:t>
            </w:r>
          </w:p>
        </w:tc>
        <w:tc>
          <w:tcPr>
            <w:tcW w:w="2337" w:type="dxa"/>
            <w:vAlign w:val="top"/>
          </w:tcPr>
          <w:p>
            <w:r>
              <w:t xml:space="preserve">Initial change request</w:t>
            </w:r>
          </w:p>
        </w:tc>
      </w:tr>
    </w:tbl>
    <w:p>
      <w:pPr>
        <w:spacing w:after="160"/>
      </w:pPr>
      <w:r>
        <w:t xml:space="preserve"/>
      </w:r>
    </w:p>
    <w:p>
      <w:pPr>
        <w:pStyle w:val="Heading1"/>
      </w:pPr>
      <w:r>
        <w:t xml:space="preserve">Description</w:t>
      </w:r>
    </w:p>
    <w:p>
      <w:pPr>
        <w:pStyle w:val="Heading2"/>
      </w:pPr>
      <w:r>
        <w:t xml:space="preserve">1. Identity and access - main APM tenant</w:t>
      </w:r>
    </w:p>
    <w:p>
      <w:pPr>
        <w:spacing w:after="120"/>
      </w:pPr>
      <w:r>
        <w:t xml:space="preserve">Owner: Identity and Endpoint, unless stated otherwise.</w:t>
      </w:r>
    </w:p>
    <w:p>
      <w:pPr>
        <w:spacing w:after="120"/>
      </w:pPr>
      <w:r>
        <w:rPr>
          <w:b/>
        </w:rPr>
        <w:t xml:space="preserve">1a. Accounts and licensing</w:t>
      </w:r>
    </w:p>
    <w:tbl>
      <w:tblPr>
        <w:tblW w:w="9350" w:type="dxa"/>
        <w:tblBorders>
          <w:top w:val="single" w:sz="4" w:space="0" w:color="C9D0E0"/>
          <w:left w:val="single" w:sz="4" w:space="0" w:color="C9D0E0"/>
          <w:bottom w:val="single" w:sz="4" w:space="0" w:color="C9D0E0"/>
          <w:right w:val="single" w:sz="4" w:space="0" w:color="C9D0E0"/>
          <w:insideH w:val="single" w:sz="4" w:space="0" w:color="C9D0E0"/>
          <w:insideV w:val="single" w:sz="4" w:space="0" w:color="C9D0E0"/>
        </w:tblBorders>
        <w:tblLook w:val="04A0"/>
      </w:tblPr>
      <w:tblGrid>
        <w:gridCol w:w="2337"/>
        <w:gridCol w:w="2337"/>
        <w:gridCol w:w="2337"/>
        <w:gridCol w:w="2337"/>
      </w:tblGrid>
      <w:tr>
        <w:tc>
          <w:tcPr>
            <w:tcW w:w="2337" w:type="dxa"/>
            <w:shd w:val="clear" w:fill="E7EAF2"/>
            <w:vAlign w:val="top"/>
          </w:tcPr>
          <w:p>
            <w:r>
              <w:rPr>
                <w:b/>
              </w:rPr>
              <w:t xml:space="preserve">Name</w:t>
            </w:r>
          </w:p>
        </w:tc>
        <w:tc>
          <w:tcPr>
            <w:tcW w:w="2337" w:type="dxa"/>
            <w:shd w:val="clear" w:fill="E7EAF2"/>
            <w:vAlign w:val="top"/>
          </w:tcPr>
          <w:p>
            <w:r>
              <w:rPr>
                <w:b/>
              </w:rPr>
              <w:t xml:space="preserve">What it is</w:t>
            </w:r>
          </w:p>
        </w:tc>
        <w:tc>
          <w:tcPr>
            <w:tcW w:w="2337" w:type="dxa"/>
            <w:shd w:val="clear" w:fill="E7EAF2"/>
            <w:vAlign w:val="top"/>
          </w:tcPr>
          <w:p>
            <w:r>
              <w:rPr>
                <w:b/>
              </w:rPr>
              <w:t xml:space="preserve">Where to find it</w:t>
            </w:r>
          </w:p>
        </w:tc>
        <w:tc>
          <w:tcPr>
            <w:tcW w:w="2337" w:type="dxa"/>
            <w:shd w:val="clear" w:fill="E7EAF2"/>
            <w:vAlign w:val="top"/>
          </w:tcPr>
          <w:p>
            <w:r>
              <w:rPr>
                <w:b/>
              </w:rPr>
              <w:t xml:space="preserve">Action</w:t>
            </w:r>
          </w:p>
        </w:tc>
      </w:tr>
      <w:tr>
        <w:tc>
          <w:tcPr>
            <w:tcW w:w="2337" w:type="dxa"/>
            <w:vAlign w:val="top"/>
          </w:tcPr>
          <w:p>
            <w:r>
              <w:t xml:space="preserve">Kiosk accounts on apmkiosk.net.au</w:t>
            </w:r>
          </w:p>
        </w:tc>
        <w:tc>
          <w:tcPr>
            <w:tcW w:w="2337" w:type="dxa"/>
            <w:vAlign w:val="top"/>
          </w:tcPr>
          <w:p>
            <w:r>
              <w:t xml:space="preserve">Per-device sign-in identity, never created</w:t>
            </w:r>
          </w:p>
        </w:tc>
        <w:tc>
          <w:tcPr>
            <w:tcW w:w="2337" w:type="dxa"/>
            <w:vAlign w:val="top"/>
          </w:tcPr>
          <w:p>
            <w:r>
              <w:t xml:space="preserve">Entra admin center &gt; Users &gt; filter Domain name = apmkiosk.net.au</w:t>
            </w:r>
          </w:p>
        </w:tc>
        <w:tc>
          <w:tcPr>
            <w:tcW w:w="2337" w:type="dxa"/>
            <w:vAlign w:val="top"/>
          </w:tcPr>
          <w:p>
            <w:r>
              <w:t xml:space="preserve">N/A. Confirm zero exist before Stage 8</w:t>
            </w:r>
          </w:p>
        </w:tc>
      </w:tr>
      <w:tr>
        <w:tc>
          <w:tcPr>
            <w:tcW w:w="2337" w:type="dxa"/>
            <w:vAlign w:val="top"/>
          </w:tcPr>
          <w:p>
            <w:r>
              <w:t xml:space="preserve">SG-APM-Kiosk-Users</w:t>
            </w:r>
          </w:p>
        </w:tc>
        <w:tc>
          <w:tcPr>
            <w:tcW w:w="2337" w:type="dxa"/>
            <w:vAlign w:val="top"/>
          </w:tcPr>
          <w:p>
            <w:r>
              <w:t xml:space="preserve">Security group, drives F3 licensing</w:t>
            </w:r>
          </w:p>
        </w:tc>
        <w:tc>
          <w:tcPr>
            <w:tcW w:w="2337" w:type="dxa"/>
            <w:vAlign w:val="top"/>
          </w:tcPr>
          <w:p>
            <w:r>
              <w:t xml:space="preserve">Entra admin center &gt; Groups &gt; search "SG-APM-Kiosk-Users"</w:t>
            </w:r>
          </w:p>
        </w:tc>
        <w:tc>
          <w:tcPr>
            <w:tcW w:w="2337" w:type="dxa"/>
            <w:vAlign w:val="top"/>
          </w:tcPr>
          <w:p>
            <w:r>
              <w:t xml:space="preserve">Delete if present. Expected empty</w:t>
            </w:r>
          </w:p>
        </w:tc>
      </w:tr>
      <w:tr>
        <w:tc>
          <w:tcPr>
            <w:tcW w:w="2337" w:type="dxa"/>
            <w:vAlign w:val="top"/>
          </w:tcPr>
          <w:p>
            <w:r>
              <w:t xml:space="preserve">M365 F3 licences</w:t>
            </w:r>
          </w:p>
        </w:tc>
        <w:tc>
          <w:tcPr>
            <w:tcW w:w="2337" w:type="dxa"/>
            <w:vAlign w:val="top"/>
          </w:tcPr>
          <w:p>
            <w:r>
              <w:t xml:space="preserve">Group-based licence on the group above</w:t>
            </w:r>
          </w:p>
        </w:tc>
        <w:tc>
          <w:tcPr>
            <w:tcW w:w="2337" w:type="dxa"/>
            <w:vAlign w:val="top"/>
          </w:tcPr>
          <w:p>
            <w:r>
              <w:t xml:space="preserve">Entra admin center &gt; Groups &gt; SG-APM-Kiosk-Users &gt; Licenses</w:t>
            </w:r>
          </w:p>
        </w:tc>
        <w:tc>
          <w:tcPr>
            <w:tcW w:w="2337" w:type="dxa"/>
            <w:vAlign w:val="top"/>
          </w:tcPr>
          <w:p>
            <w:r>
              <w:t xml:space="preserve">N/A, none consumed. Confirm with SoftwareOne</w:t>
            </w:r>
          </w:p>
        </w:tc>
      </w:tr>
    </w:tbl>
    <w:p>
      <w:pPr>
        <w:spacing w:after="160"/>
      </w:pPr>
      <w:r>
        <w:t xml:space="preserve"/>
      </w:r>
    </w:p>
    <w:p>
      <w:pPr>
        <w:spacing w:after="120"/>
      </w:pPr>
      <w:r>
        <w:rPr>
          <w:b/>
        </w:rPr>
        <w:t xml:space="preserve">1b. Conditional Access - CA-APM-Kiosk-* family (7 policies, all report-only)</w:t>
      </w:r>
    </w:p>
    <w:tbl>
      <w:tblPr>
        <w:tblW w:w="9350" w:type="dxa"/>
        <w:tblBorders>
          <w:top w:val="single" w:sz="4" w:space="0" w:color="C9D0E0"/>
          <w:left w:val="single" w:sz="4" w:space="0" w:color="C9D0E0"/>
          <w:bottom w:val="single" w:sz="4" w:space="0" w:color="C9D0E0"/>
          <w:right w:val="single" w:sz="4" w:space="0" w:color="C9D0E0"/>
          <w:insideH w:val="single" w:sz="4" w:space="0" w:color="C9D0E0"/>
          <w:insideV w:val="single" w:sz="4" w:space="0" w:color="C9D0E0"/>
        </w:tblBorders>
        <w:tblLook w:val="04A0"/>
      </w:tblPr>
      <w:tblGrid>
        <w:gridCol w:w="1870"/>
        <w:gridCol w:w="1870"/>
        <w:gridCol w:w="1870"/>
        <w:gridCol w:w="1870"/>
        <w:gridCol w:w="1870"/>
      </w:tblGrid>
      <w:tr>
        <w:tc>
          <w:tcPr>
            <w:tcW w:w="1870" w:type="dxa"/>
            <w:shd w:val="clear" w:fill="E7EAF2"/>
            <w:vAlign w:val="top"/>
          </w:tcPr>
          <w:p>
            <w:r>
              <w:rPr>
                <w:b/>
              </w:rPr>
              <w:t xml:space="preserve">#</w:t>
            </w:r>
          </w:p>
        </w:tc>
        <w:tc>
          <w:tcPr>
            <w:tcW w:w="1870" w:type="dxa"/>
            <w:shd w:val="clear" w:fill="E7EAF2"/>
            <w:vAlign w:val="top"/>
          </w:tcPr>
          <w:p>
            <w:r>
              <w:rPr>
                <w:b/>
              </w:rPr>
              <w:t xml:space="preserve">Policy name</w:t>
            </w:r>
          </w:p>
        </w:tc>
        <w:tc>
          <w:tcPr>
            <w:tcW w:w="1870" w:type="dxa"/>
            <w:shd w:val="clear" w:fill="E7EAF2"/>
            <w:vAlign w:val="top"/>
          </w:tcPr>
          <w:p>
            <w:r>
              <w:rPr>
                <w:b/>
              </w:rPr>
              <w:t xml:space="preserve">State</w:t>
            </w:r>
          </w:p>
        </w:tc>
        <w:tc>
          <w:tcPr>
            <w:tcW w:w="1870" w:type="dxa"/>
            <w:shd w:val="clear" w:fill="E7EAF2"/>
            <w:vAlign w:val="top"/>
          </w:tcPr>
          <w:p>
            <w:r>
              <w:rPr>
                <w:b/>
              </w:rPr>
              <w:t xml:space="preserve">Where to find it</w:t>
            </w:r>
          </w:p>
        </w:tc>
        <w:tc>
          <w:tcPr>
            <w:tcW w:w="1870" w:type="dxa"/>
            <w:shd w:val="clear" w:fill="E7EAF2"/>
            <w:vAlign w:val="top"/>
          </w:tcPr>
          <w:p>
            <w:r>
              <w:rPr>
                <w:b/>
              </w:rPr>
              <w:t xml:space="preserve">Action</w:t>
            </w:r>
          </w:p>
        </w:tc>
      </w:tr>
      <w:tr>
        <w:tc>
          <w:tcPr>
            <w:tcW w:w="1870" w:type="dxa"/>
            <w:vAlign w:val="top"/>
          </w:tcPr>
          <w:p>
            <w:r>
              <w:t xml:space="preserve">1</w:t>
            </w:r>
          </w:p>
        </w:tc>
        <w:tc>
          <w:tcPr>
            <w:tcW w:w="1870" w:type="dxa"/>
            <w:vAlign w:val="top"/>
          </w:tcPr>
          <w:p>
            <w:r>
              <w:t xml:space="preserve">CA-APM-Kiosk-BlockNonWindows</w:t>
            </w:r>
          </w:p>
        </w:tc>
        <w:tc>
          <w:tcPr>
            <w:tcW w:w="1870" w:type="dxa"/>
            <w:vAlign w:val="top"/>
          </w:tcPr>
          <w:p>
            <w:r>
              <w:t xml:space="preserve">Report-only</w:t>
            </w:r>
          </w:p>
        </w:tc>
        <w:tc>
          <w:tcPr>
            <w:tcW w:w="1870" w:type="dxa"/>
            <w:vAlign w:val="top"/>
          </w:tcPr>
          <w:p>
            <w:r>
              <w:t xml:space="preserve">Entra admin center &gt; Protection &gt; Conditional Access &gt; Policies</w:t>
            </w:r>
          </w:p>
        </w:tc>
        <w:tc>
          <w:tcPr>
            <w:tcW w:w="1870" w:type="dxa"/>
            <w:vAlign w:val="top"/>
          </w:tcPr>
          <w:p>
            <w:r>
              <w:t xml:space="preserve">Delete outright</w:t>
            </w:r>
          </w:p>
        </w:tc>
      </w:tr>
      <w:tr>
        <w:tc>
          <w:tcPr>
            <w:tcW w:w="1870" w:type="dxa"/>
            <w:vAlign w:val="top"/>
          </w:tcPr>
          <w:p>
            <w:r>
              <w:t xml:space="preserve">2</w:t>
            </w:r>
          </w:p>
        </w:tc>
        <w:tc>
          <w:tcPr>
            <w:tcW w:w="1870" w:type="dxa"/>
            <w:vAlign w:val="top"/>
          </w:tcPr>
          <w:p>
            <w:r>
              <w:t xml:space="preserve">CA-APM-Kiosk-BlockWebClient</w:t>
            </w:r>
          </w:p>
        </w:tc>
        <w:tc>
          <w:tcPr>
            <w:tcW w:w="1870" w:type="dxa"/>
            <w:vAlign w:val="top"/>
          </w:tcPr>
          <w:p>
            <w:r>
              <w:t xml:space="preserve">Report-only</w:t>
            </w:r>
          </w:p>
        </w:tc>
        <w:tc>
          <w:tcPr>
            <w:tcW w:w="1870" w:type="dxa"/>
            <w:vAlign w:val="top"/>
          </w:tcPr>
          <w:p>
            <w:r>
              <w:t xml:space="preserve">Same blade</w:t>
            </w:r>
          </w:p>
        </w:tc>
        <w:tc>
          <w:tcPr>
            <w:tcW w:w="1870" w:type="dxa"/>
            <w:vAlign w:val="top"/>
          </w:tcPr>
          <w:p>
            <w:r>
              <w:t xml:space="preserve">Delete outright</w:t>
            </w:r>
          </w:p>
        </w:tc>
      </w:tr>
      <w:tr>
        <w:tc>
          <w:tcPr>
            <w:tcW w:w="1870" w:type="dxa"/>
            <w:vAlign w:val="top"/>
          </w:tcPr>
          <w:p>
            <w:r>
              <w:t xml:space="preserve">3</w:t>
            </w:r>
          </w:p>
        </w:tc>
        <w:tc>
          <w:tcPr>
            <w:tcW w:w="1870" w:type="dxa"/>
            <w:vAlign w:val="top"/>
          </w:tcPr>
          <w:p>
            <w:r>
              <w:t xml:space="preserve">CA-APM-Kiosk-RequireCompliantDevice</w:t>
            </w:r>
          </w:p>
        </w:tc>
        <w:tc>
          <w:tcPr>
            <w:tcW w:w="1870" w:type="dxa"/>
            <w:vAlign w:val="top"/>
          </w:tcPr>
          <w:p>
            <w:r>
              <w:t xml:space="preserve">Report-only</w:t>
            </w:r>
          </w:p>
        </w:tc>
        <w:tc>
          <w:tcPr>
            <w:tcW w:w="1870" w:type="dxa"/>
            <w:vAlign w:val="top"/>
          </w:tcPr>
          <w:p>
            <w:r>
              <w:t xml:space="preserve">Same blade</w:t>
            </w:r>
          </w:p>
        </w:tc>
        <w:tc>
          <w:tcPr>
            <w:tcW w:w="1870" w:type="dxa"/>
            <w:vAlign w:val="top"/>
          </w:tcPr>
          <w:p>
            <w:r>
              <w:t xml:space="preserve">Delete outright</w:t>
            </w:r>
          </w:p>
        </w:tc>
      </w:tr>
      <w:tr>
        <w:tc>
          <w:tcPr>
            <w:tcW w:w="1870" w:type="dxa"/>
            <w:vAlign w:val="top"/>
          </w:tcPr>
          <w:p>
            <w:r>
              <w:t xml:space="preserve">4</w:t>
            </w:r>
          </w:p>
        </w:tc>
        <w:tc>
          <w:tcPr>
            <w:tcW w:w="1870" w:type="dxa"/>
            <w:vAlign w:val="top"/>
          </w:tcPr>
          <w:p>
            <w:r>
              <w:t xml:space="preserve">CA-APM-Kiosk-WebOnly-Office</w:t>
            </w:r>
          </w:p>
        </w:tc>
        <w:tc>
          <w:tcPr>
            <w:tcW w:w="1870" w:type="dxa"/>
            <w:vAlign w:val="top"/>
          </w:tcPr>
          <w:p>
            <w:r>
              <w:t xml:space="preserve">Report-only</w:t>
            </w:r>
          </w:p>
        </w:tc>
        <w:tc>
          <w:tcPr>
            <w:tcW w:w="1870" w:type="dxa"/>
            <w:vAlign w:val="top"/>
          </w:tcPr>
          <w:p>
            <w:r>
              <w:t xml:space="preserve">Same blade</w:t>
            </w:r>
          </w:p>
        </w:tc>
        <w:tc>
          <w:tcPr>
            <w:tcW w:w="1870" w:type="dxa"/>
            <w:vAlign w:val="top"/>
          </w:tcPr>
          <w:p>
            <w:r>
              <w:t xml:space="preserve">Delete outright</w:t>
            </w:r>
          </w:p>
        </w:tc>
      </w:tr>
      <w:tr>
        <w:tc>
          <w:tcPr>
            <w:tcW w:w="1870" w:type="dxa"/>
            <w:vAlign w:val="top"/>
          </w:tcPr>
          <w:p>
            <w:r>
              <w:t xml:space="preserve">5</w:t>
            </w:r>
          </w:p>
        </w:tc>
        <w:tc>
          <w:tcPr>
            <w:tcW w:w="1870" w:type="dxa"/>
            <w:vAlign w:val="top"/>
          </w:tcPr>
          <w:p>
            <w:r>
              <w:t xml:space="preserve">CA-APM-Kiosk-DeviceBound</w:t>
            </w:r>
          </w:p>
        </w:tc>
        <w:tc>
          <w:tcPr>
            <w:tcW w:w="1870" w:type="dxa"/>
            <w:vAlign w:val="top"/>
          </w:tcPr>
          <w:p>
            <w:r>
              <w:t xml:space="preserve">Report-only</w:t>
            </w:r>
          </w:p>
        </w:tc>
        <w:tc>
          <w:tcPr>
            <w:tcW w:w="1870" w:type="dxa"/>
            <w:vAlign w:val="top"/>
          </w:tcPr>
          <w:p>
            <w:r>
              <w:t xml:space="preserve">Same blade</w:t>
            </w:r>
          </w:p>
        </w:tc>
        <w:tc>
          <w:tcPr>
            <w:tcW w:w="1870" w:type="dxa"/>
            <w:vAlign w:val="top"/>
          </w:tcPr>
          <w:p>
            <w:r>
              <w:t xml:space="preserve">Delete outright</w:t>
            </w:r>
          </w:p>
        </w:tc>
      </w:tr>
      <w:tr>
        <w:tc>
          <w:tcPr>
            <w:tcW w:w="1870" w:type="dxa"/>
            <w:vAlign w:val="top"/>
          </w:tcPr>
          <w:p>
            <w:r>
              <w:t xml:space="preserve">6</w:t>
            </w:r>
          </w:p>
        </w:tc>
        <w:tc>
          <w:tcPr>
            <w:tcW w:w="1870" w:type="dxa"/>
            <w:vAlign w:val="top"/>
          </w:tcPr>
          <w:p>
            <w:r>
              <w:t xml:space="preserve">CA-APM-Kiosk-BlockExchangeOnline</w:t>
            </w:r>
          </w:p>
        </w:tc>
        <w:tc>
          <w:tcPr>
            <w:tcW w:w="1870" w:type="dxa"/>
            <w:vAlign w:val="top"/>
          </w:tcPr>
          <w:p>
            <w:r>
              <w:t xml:space="preserve">Report-only</w:t>
            </w:r>
          </w:p>
        </w:tc>
        <w:tc>
          <w:tcPr>
            <w:tcW w:w="1870" w:type="dxa"/>
            <w:vAlign w:val="top"/>
          </w:tcPr>
          <w:p>
            <w:r>
              <w:t xml:space="preserve">Same blade</w:t>
            </w:r>
          </w:p>
        </w:tc>
        <w:tc>
          <w:tcPr>
            <w:tcW w:w="1870" w:type="dxa"/>
            <w:vAlign w:val="top"/>
          </w:tcPr>
          <w:p>
            <w:r>
              <w:t xml:space="preserve">Delete outright</w:t>
            </w:r>
          </w:p>
        </w:tc>
      </w:tr>
      <w:tr>
        <w:tc>
          <w:tcPr>
            <w:tcW w:w="1870" w:type="dxa"/>
            <w:vAlign w:val="top"/>
          </w:tcPr>
          <w:p>
            <w:r>
              <w:t xml:space="preserve">7</w:t>
            </w:r>
          </w:p>
        </w:tc>
        <w:tc>
          <w:tcPr>
            <w:tcW w:w="1870" w:type="dxa"/>
            <w:vAlign w:val="top"/>
          </w:tcPr>
          <w:p>
            <w:r>
              <w:t xml:space="preserve">CA-APM-Kiosk-BlockTeams</w:t>
            </w:r>
          </w:p>
        </w:tc>
        <w:tc>
          <w:tcPr>
            <w:tcW w:w="1870" w:type="dxa"/>
            <w:vAlign w:val="top"/>
          </w:tcPr>
          <w:p>
            <w:r>
              <w:t xml:space="preserve">Report-only</w:t>
            </w:r>
          </w:p>
        </w:tc>
        <w:tc>
          <w:tcPr>
            <w:tcW w:w="1870" w:type="dxa"/>
            <w:vAlign w:val="top"/>
          </w:tcPr>
          <w:p>
            <w:r>
              <w:t xml:space="preserve">Same blade</w:t>
            </w:r>
          </w:p>
        </w:tc>
        <w:tc>
          <w:tcPr>
            <w:tcW w:w="1870" w:type="dxa"/>
            <w:vAlign w:val="top"/>
          </w:tcPr>
          <w:p>
            <w:r>
              <w:t xml:space="preserve">Delete outright</w:t>
            </w:r>
          </w:p>
        </w:tc>
      </w:tr>
    </w:tbl>
    <w:p>
      <w:pPr>
        <w:spacing w:after="160"/>
      </w:pPr>
      <w:r>
        <w:t xml:space="preserve"/>
      </w:r>
    </w:p>
    <w:p>
      <w:pPr>
        <w:spacing w:after="120"/>
      </w:pPr>
      <w:r>
        <w:rPr>
          <w:b/>
        </w:rPr>
        <w:t xml:space="preserve">1c. Conditional Access - CA-APM-KioskPB-* family (7 policies, 6 enforced)</w:t>
      </w:r>
    </w:p>
    <w:tbl>
      <w:tblPr>
        <w:tblW w:w="9350" w:type="dxa"/>
        <w:tblBorders>
          <w:top w:val="single" w:sz="4" w:space="0" w:color="C9D0E0"/>
          <w:left w:val="single" w:sz="4" w:space="0" w:color="C9D0E0"/>
          <w:bottom w:val="single" w:sz="4" w:space="0" w:color="C9D0E0"/>
          <w:right w:val="single" w:sz="4" w:space="0" w:color="C9D0E0"/>
          <w:insideH w:val="single" w:sz="4" w:space="0" w:color="C9D0E0"/>
          <w:insideV w:val="single" w:sz="4" w:space="0" w:color="C9D0E0"/>
        </w:tblBorders>
        <w:tblLook w:val="04A0"/>
      </w:tblPr>
      <w:tblGrid>
        <w:gridCol w:w="1870"/>
        <w:gridCol w:w="1870"/>
        <w:gridCol w:w="1870"/>
        <w:gridCol w:w="1870"/>
        <w:gridCol w:w="1870"/>
      </w:tblGrid>
      <w:tr>
        <w:tc>
          <w:tcPr>
            <w:tcW w:w="1870" w:type="dxa"/>
            <w:shd w:val="clear" w:fill="E7EAF2"/>
            <w:vAlign w:val="top"/>
          </w:tcPr>
          <w:p>
            <w:r>
              <w:rPr>
                <w:b/>
              </w:rPr>
              <w:t xml:space="preserve">#</w:t>
            </w:r>
          </w:p>
        </w:tc>
        <w:tc>
          <w:tcPr>
            <w:tcW w:w="1870" w:type="dxa"/>
            <w:shd w:val="clear" w:fill="E7EAF2"/>
            <w:vAlign w:val="top"/>
          </w:tcPr>
          <w:p>
            <w:r>
              <w:rPr>
                <w:b/>
              </w:rPr>
              <w:t xml:space="preserve">Policy name</w:t>
            </w:r>
          </w:p>
        </w:tc>
        <w:tc>
          <w:tcPr>
            <w:tcW w:w="1870" w:type="dxa"/>
            <w:shd w:val="clear" w:fill="E7EAF2"/>
            <w:vAlign w:val="top"/>
          </w:tcPr>
          <w:p>
            <w:r>
              <w:rPr>
                <w:b/>
              </w:rPr>
              <w:t xml:space="preserve">State</w:t>
            </w:r>
          </w:p>
        </w:tc>
        <w:tc>
          <w:tcPr>
            <w:tcW w:w="1870" w:type="dxa"/>
            <w:shd w:val="clear" w:fill="E7EAF2"/>
            <w:vAlign w:val="top"/>
          </w:tcPr>
          <w:p>
            <w:r>
              <w:rPr>
                <w:b/>
              </w:rPr>
              <w:t xml:space="preserve">Where to find it</w:t>
            </w:r>
          </w:p>
        </w:tc>
        <w:tc>
          <w:tcPr>
            <w:tcW w:w="1870" w:type="dxa"/>
            <w:shd w:val="clear" w:fill="E7EAF2"/>
            <w:vAlign w:val="top"/>
          </w:tcPr>
          <w:p>
            <w:r>
              <w:rPr>
                <w:b/>
              </w:rPr>
              <w:t xml:space="preserve">Action</w:t>
            </w:r>
          </w:p>
        </w:tc>
      </w:tr>
      <w:tr>
        <w:tc>
          <w:tcPr>
            <w:tcW w:w="1870" w:type="dxa"/>
            <w:vAlign w:val="top"/>
          </w:tcPr>
          <w:p>
            <w:r>
              <w:t xml:space="preserve">1</w:t>
            </w:r>
          </w:p>
        </w:tc>
        <w:tc>
          <w:tcPr>
            <w:tcW w:w="1870" w:type="dxa"/>
            <w:vAlign w:val="top"/>
          </w:tcPr>
          <w:p>
            <w:r>
              <w:t xml:space="preserve">CA-APM-KioskPB-RequireCompliantDevice</w:t>
            </w:r>
          </w:p>
        </w:tc>
        <w:tc>
          <w:tcPr>
            <w:tcW w:w="1870" w:type="dxa"/>
            <w:vAlign w:val="top"/>
          </w:tcPr>
          <w:p>
            <w:r>
              <w:rPr>
                <w:b/>
              </w:rPr>
              <w:t xml:space="preserve">Enabled</w:t>
            </w:r>
          </w:p>
        </w:tc>
        <w:tc>
          <w:tcPr>
            <w:tcW w:w="1870" w:type="dxa"/>
            <w:vAlign w:val="top"/>
          </w:tcPr>
          <w:p>
            <w:r>
              <w:t xml:space="preserve">Entra admin center &gt; Protection &gt; Conditional Access &gt; Policies</w:t>
            </w:r>
          </w:p>
        </w:tc>
        <w:tc>
          <w:tcPr>
            <w:tcW w:w="1870" w:type="dxa"/>
            <w:vAlign w:val="top"/>
          </w:tcPr>
          <w:p>
            <w:r>
              <w:t xml:space="preserve">Export sign-in data first, then delete</w:t>
            </w:r>
          </w:p>
        </w:tc>
      </w:tr>
      <w:tr>
        <w:tc>
          <w:tcPr>
            <w:tcW w:w="1870" w:type="dxa"/>
            <w:vAlign w:val="top"/>
          </w:tcPr>
          <w:p>
            <w:r>
              <w:t xml:space="preserve">2</w:t>
            </w:r>
          </w:p>
        </w:tc>
        <w:tc>
          <w:tcPr>
            <w:tcW w:w="1870" w:type="dxa"/>
            <w:vAlign w:val="top"/>
          </w:tcPr>
          <w:p>
            <w:r>
              <w:t xml:space="preserve">CA-APM-KioskPB-BlockNonKioskDevices</w:t>
            </w:r>
          </w:p>
        </w:tc>
        <w:tc>
          <w:tcPr>
            <w:tcW w:w="1870" w:type="dxa"/>
            <w:vAlign w:val="top"/>
          </w:tcPr>
          <w:p>
            <w:r>
              <w:rPr>
                <w:b/>
              </w:rPr>
              <w:t xml:space="preserve">Enabled</w:t>
            </w:r>
          </w:p>
        </w:tc>
        <w:tc>
          <w:tcPr>
            <w:tcW w:w="1870" w:type="dxa"/>
            <w:vAlign w:val="top"/>
          </w:tcPr>
          <w:p>
            <w:r>
              <w:t xml:space="preserve">Same blade</w:t>
            </w:r>
          </w:p>
        </w:tc>
        <w:tc>
          <w:tcPr>
            <w:tcW w:w="1870" w:type="dxa"/>
            <w:vAlign w:val="top"/>
          </w:tcPr>
          <w:p>
            <w:r>
              <w:t xml:space="preserve">Export sign-in data first, then delete</w:t>
            </w:r>
          </w:p>
        </w:tc>
      </w:tr>
      <w:tr>
        <w:tc>
          <w:tcPr>
            <w:tcW w:w="1870" w:type="dxa"/>
            <w:vAlign w:val="top"/>
          </w:tcPr>
          <w:p>
            <w:r>
              <w:t xml:space="preserve">3</w:t>
            </w:r>
          </w:p>
        </w:tc>
        <w:tc>
          <w:tcPr>
            <w:tcW w:w="1870" w:type="dxa"/>
            <w:vAlign w:val="top"/>
          </w:tcPr>
          <w:p>
            <w:r>
              <w:t xml:space="preserve">CA-APM-KioskPB-BlockNonWindows</w:t>
            </w:r>
          </w:p>
        </w:tc>
        <w:tc>
          <w:tcPr>
            <w:tcW w:w="1870" w:type="dxa"/>
            <w:vAlign w:val="top"/>
          </w:tcPr>
          <w:p>
            <w:r>
              <w:rPr>
                <w:b/>
              </w:rPr>
              <w:t xml:space="preserve">Enabled</w:t>
            </w:r>
          </w:p>
        </w:tc>
        <w:tc>
          <w:tcPr>
            <w:tcW w:w="1870" w:type="dxa"/>
            <w:vAlign w:val="top"/>
          </w:tcPr>
          <w:p>
            <w:r>
              <w:t xml:space="preserve">Same blade</w:t>
            </w:r>
          </w:p>
        </w:tc>
        <w:tc>
          <w:tcPr>
            <w:tcW w:w="1870" w:type="dxa"/>
            <w:vAlign w:val="top"/>
          </w:tcPr>
          <w:p>
            <w:r>
              <w:t xml:space="preserve">Export sign-in data first, then delete</w:t>
            </w:r>
          </w:p>
        </w:tc>
      </w:tr>
      <w:tr>
        <w:tc>
          <w:tcPr>
            <w:tcW w:w="1870" w:type="dxa"/>
            <w:vAlign w:val="top"/>
          </w:tcPr>
          <w:p>
            <w:r>
              <w:t xml:space="preserve">4</w:t>
            </w:r>
          </w:p>
        </w:tc>
        <w:tc>
          <w:tcPr>
            <w:tcW w:w="1870" w:type="dxa"/>
            <w:vAlign w:val="top"/>
          </w:tcPr>
          <w:p>
            <w:r>
              <w:t xml:space="preserve">CA-APM-KioskPB-BlockLegacyAuth</w:t>
            </w:r>
          </w:p>
        </w:tc>
        <w:tc>
          <w:tcPr>
            <w:tcW w:w="1870" w:type="dxa"/>
            <w:vAlign w:val="top"/>
          </w:tcPr>
          <w:p>
            <w:r>
              <w:rPr>
                <w:b/>
              </w:rPr>
              <w:t xml:space="preserve">Enabled</w:t>
            </w:r>
          </w:p>
        </w:tc>
        <w:tc>
          <w:tcPr>
            <w:tcW w:w="1870" w:type="dxa"/>
            <w:vAlign w:val="top"/>
          </w:tcPr>
          <w:p>
            <w:r>
              <w:t xml:space="preserve">Same blade</w:t>
            </w:r>
          </w:p>
        </w:tc>
        <w:tc>
          <w:tcPr>
            <w:tcW w:w="1870" w:type="dxa"/>
            <w:vAlign w:val="top"/>
          </w:tcPr>
          <w:p>
            <w:r>
              <w:t xml:space="preserve">Export sign-in data first, then delete</w:t>
            </w:r>
          </w:p>
        </w:tc>
      </w:tr>
      <w:tr>
        <w:tc>
          <w:tcPr>
            <w:tcW w:w="1870" w:type="dxa"/>
            <w:vAlign w:val="top"/>
          </w:tcPr>
          <w:p>
            <w:r>
              <w:t xml:space="preserve">5</w:t>
            </w:r>
          </w:p>
        </w:tc>
        <w:tc>
          <w:tcPr>
            <w:tcW w:w="1870" w:type="dxa"/>
            <w:vAlign w:val="top"/>
          </w:tcPr>
          <w:p>
            <w:r>
              <w:t xml:space="preserve">CA-APM-KioskPB-BlockAuthFlows</w:t>
            </w:r>
          </w:p>
        </w:tc>
        <w:tc>
          <w:tcPr>
            <w:tcW w:w="1870" w:type="dxa"/>
            <w:vAlign w:val="top"/>
          </w:tcPr>
          <w:p>
            <w:r>
              <w:rPr>
                <w:b/>
              </w:rPr>
              <w:t xml:space="preserve">Enabled</w:t>
            </w:r>
          </w:p>
        </w:tc>
        <w:tc>
          <w:tcPr>
            <w:tcW w:w="1870" w:type="dxa"/>
            <w:vAlign w:val="top"/>
          </w:tcPr>
          <w:p>
            <w:r>
              <w:t xml:space="preserve">Same blade</w:t>
            </w:r>
          </w:p>
        </w:tc>
        <w:tc>
          <w:tcPr>
            <w:tcW w:w="1870" w:type="dxa"/>
            <w:vAlign w:val="top"/>
          </w:tcPr>
          <w:p>
            <w:r>
              <w:t xml:space="preserve">Export sign-in data first, then delete</w:t>
            </w:r>
          </w:p>
        </w:tc>
      </w:tr>
      <w:tr>
        <w:tc>
          <w:tcPr>
            <w:tcW w:w="1870" w:type="dxa"/>
            <w:vAlign w:val="top"/>
          </w:tcPr>
          <w:p>
            <w:r>
              <w:t xml:space="preserve">6</w:t>
            </w:r>
          </w:p>
        </w:tc>
        <w:tc>
          <w:tcPr>
            <w:tcW w:w="1870" w:type="dxa"/>
            <w:vAlign w:val="top"/>
          </w:tcPr>
          <w:p>
            <w:r>
              <w:t xml:space="preserve">CA-APM-KioskPB-BlockRiskySignIn</w:t>
            </w:r>
          </w:p>
        </w:tc>
        <w:tc>
          <w:tcPr>
            <w:tcW w:w="1870" w:type="dxa"/>
            <w:vAlign w:val="top"/>
          </w:tcPr>
          <w:p>
            <w:r>
              <w:rPr>
                <w:b/>
              </w:rPr>
              <w:t xml:space="preserve">Enabled</w:t>
            </w:r>
          </w:p>
        </w:tc>
        <w:tc>
          <w:tcPr>
            <w:tcW w:w="1870" w:type="dxa"/>
            <w:vAlign w:val="top"/>
          </w:tcPr>
          <w:p>
            <w:r>
              <w:t xml:space="preserve">Same blade</w:t>
            </w:r>
          </w:p>
        </w:tc>
        <w:tc>
          <w:tcPr>
            <w:tcW w:w="1870" w:type="dxa"/>
            <w:vAlign w:val="top"/>
          </w:tcPr>
          <w:p>
            <w:r>
              <w:t xml:space="preserve">Export sign-in data first, then delete</w:t>
            </w:r>
          </w:p>
        </w:tc>
      </w:tr>
      <w:tr>
        <w:tc>
          <w:tcPr>
            <w:tcW w:w="1870" w:type="dxa"/>
            <w:vAlign w:val="top"/>
          </w:tcPr>
          <w:p>
            <w:r>
              <w:t xml:space="preserve">7</w:t>
            </w:r>
          </w:p>
        </w:tc>
        <w:tc>
          <w:tcPr>
            <w:tcW w:w="1870" w:type="dxa"/>
            <w:vAlign w:val="top"/>
          </w:tcPr>
          <w:p>
            <w:r>
              <w:t xml:space="preserve">CA-APM-KioskPB-WebOnlyOffice</w:t>
            </w:r>
          </w:p>
        </w:tc>
        <w:tc>
          <w:tcPr>
            <w:tcW w:w="1870" w:type="dxa"/>
            <w:vAlign w:val="top"/>
          </w:tcPr>
          <w:p>
            <w:r>
              <w:t xml:space="preserve">Report-only</w:t>
            </w:r>
          </w:p>
        </w:tc>
        <w:tc>
          <w:tcPr>
            <w:tcW w:w="1870" w:type="dxa"/>
            <w:vAlign w:val="top"/>
          </w:tcPr>
          <w:p>
            <w:r>
              <w:t xml:space="preserve">Same blade</w:t>
            </w:r>
          </w:p>
        </w:tc>
        <w:tc>
          <w:tcPr>
            <w:tcW w:w="1870" w:type="dxa"/>
            <w:vAlign w:val="top"/>
          </w:tcPr>
          <w:p>
            <w:r>
              <w:t xml:space="preserve">Delete outright, no evidence dependency</w:t>
            </w:r>
          </w:p>
        </w:tc>
      </w:tr>
    </w:tbl>
    <w:p>
      <w:pPr>
        <w:spacing w:after="160"/>
      </w:pPr>
      <w:r>
        <w:t xml:space="preserve"/>
      </w:r>
    </w:p>
    <w:p>
      <w:pPr>
        <w:spacing w:after="120"/>
      </w:pPr>
      <w:r>
        <w:rPr>
          <w:b/>
        </w:rPr>
        <w:t xml:space="preserve">1d. Exclusions to remove (same change as deleting SG-APM-Kiosk-Users)</w:t>
      </w:r>
    </w:p>
    <w:tbl>
      <w:tblPr>
        <w:tblW w:w="9350" w:type="dxa"/>
        <w:tblBorders>
          <w:top w:val="single" w:sz="4" w:space="0" w:color="C9D0E0"/>
          <w:left w:val="single" w:sz="4" w:space="0" w:color="C9D0E0"/>
          <w:bottom w:val="single" w:sz="4" w:space="0" w:color="C9D0E0"/>
          <w:right w:val="single" w:sz="4" w:space="0" w:color="C9D0E0"/>
          <w:insideH w:val="single" w:sz="4" w:space="0" w:color="C9D0E0"/>
          <w:insideV w:val="single" w:sz="4" w:space="0" w:color="C9D0E0"/>
        </w:tblBorders>
        <w:tblLook w:val="04A0"/>
      </w:tblPr>
      <w:tblGrid>
        <w:gridCol w:w="2337"/>
        <w:gridCol w:w="2337"/>
        <w:gridCol w:w="2337"/>
        <w:gridCol w:w="2337"/>
      </w:tblGrid>
      <w:tr>
        <w:tc>
          <w:tcPr>
            <w:tcW w:w="2337" w:type="dxa"/>
            <w:shd w:val="clear" w:fill="E7EAF2"/>
            <w:vAlign w:val="top"/>
          </w:tcPr>
          <w:p>
            <w:r>
              <w:rPr>
                <w:b/>
              </w:rPr>
              <w:t xml:space="preserve">#</w:t>
            </w:r>
          </w:p>
        </w:tc>
        <w:tc>
          <w:tcPr>
            <w:tcW w:w="2337" w:type="dxa"/>
            <w:shd w:val="clear" w:fill="E7EAF2"/>
            <w:vAlign w:val="top"/>
          </w:tcPr>
          <w:p>
            <w:r>
              <w:rPr>
                <w:b/>
              </w:rPr>
              <w:t xml:space="preserve">Policy the exclusion sits on</w:t>
            </w:r>
          </w:p>
        </w:tc>
        <w:tc>
          <w:tcPr>
            <w:tcW w:w="2337" w:type="dxa"/>
            <w:shd w:val="clear" w:fill="E7EAF2"/>
            <w:vAlign w:val="top"/>
          </w:tcPr>
          <w:p>
            <w:r>
              <w:rPr>
                <w:b/>
              </w:rPr>
              <w:t xml:space="preserve">Where to find it</w:t>
            </w:r>
          </w:p>
        </w:tc>
        <w:tc>
          <w:tcPr>
            <w:tcW w:w="2337" w:type="dxa"/>
            <w:shd w:val="clear" w:fill="E7EAF2"/>
            <w:vAlign w:val="top"/>
          </w:tcPr>
          <w:p>
            <w:r>
              <w:rPr>
                <w:b/>
              </w:rPr>
              <w:t xml:space="preserve">Action</w:t>
            </w:r>
          </w:p>
        </w:tc>
      </w:tr>
      <w:tr>
        <w:tc>
          <w:tcPr>
            <w:tcW w:w="2337" w:type="dxa"/>
            <w:vAlign w:val="top"/>
          </w:tcPr>
          <w:p>
            <w:r>
              <w:t xml:space="preserve">1</w:t>
            </w:r>
          </w:p>
        </w:tc>
        <w:tc>
          <w:tcPr>
            <w:tcW w:w="2337" w:type="dxa"/>
            <w:vAlign w:val="top"/>
          </w:tcPr>
          <w:p>
            <w:r>
              <w:t xml:space="preserve">AllUsers_AllAccess_MFAorDeviceRequired</w:t>
            </w:r>
          </w:p>
        </w:tc>
        <w:tc>
          <w:tcPr>
            <w:tcW w:w="2337" w:type="dxa"/>
            <w:vAlign w:val="top"/>
          </w:tcPr>
          <w:p>
            <w:r>
              <w:t xml:space="preserve">Conditional Access &gt; this policy &gt; Assignments &gt; Users &gt; Excluded</w:t>
            </w:r>
          </w:p>
        </w:tc>
        <w:tc>
          <w:tcPr>
            <w:tcW w:w="2337" w:type="dxa"/>
            <w:vAlign w:val="top"/>
          </w:tcPr>
          <w:p>
            <w:r>
              <w:t xml:space="preserve">Remove SG-APM-Kiosk-Users from the exclusion list</w:t>
            </w:r>
          </w:p>
        </w:tc>
      </w:tr>
      <w:tr>
        <w:tc>
          <w:tcPr>
            <w:tcW w:w="2337" w:type="dxa"/>
            <w:vAlign w:val="top"/>
          </w:tcPr>
          <w:p>
            <w:r>
              <w:t xml:space="preserve">2</w:t>
            </w:r>
          </w:p>
        </w:tc>
        <w:tc>
          <w:tcPr>
            <w:tcW w:w="2337" w:type="dxa"/>
            <w:vAlign w:val="top"/>
          </w:tcPr>
          <w:p>
            <w:r>
              <w:t xml:space="preserve">AllUsers_Office365_DeviceRequired</w:t>
            </w:r>
          </w:p>
        </w:tc>
        <w:tc>
          <w:tcPr>
            <w:tcW w:w="2337" w:type="dxa"/>
            <w:vAlign w:val="top"/>
          </w:tcPr>
          <w:p>
            <w:r>
              <w:t xml:space="preserve">Conditional Access &gt; this policy &gt; Assignments &gt; Users &gt; Excluded</w:t>
            </w:r>
          </w:p>
        </w:tc>
        <w:tc>
          <w:tcPr>
            <w:tcW w:w="2337" w:type="dxa"/>
            <w:vAlign w:val="top"/>
          </w:tcPr>
          <w:p>
            <w:r>
              <w:t xml:space="preserve">Remove SG-APM-Kiosk-Users from the exclusion list</w:t>
            </w:r>
          </w:p>
        </w:tc>
      </w:tr>
    </w:tbl>
    <w:p>
      <w:pPr>
        <w:spacing w:after="160"/>
      </w:pPr>
      <w:r>
        <w:t xml:space="preserve"/>
      </w:r>
    </w:p>
    <w:p>
      <w:pPr>
        <w:spacing w:after="120"/>
      </w:pPr>
      <w:r>
        <w:rPr>
          <w:b/>
        </w:rPr>
        <w:t xml:space="preserve">1e. Information Barrier, certificate authority</w:t>
      </w:r>
    </w:p>
    <w:tbl>
      <w:tblPr>
        <w:tblW w:w="9350" w:type="dxa"/>
        <w:tblBorders>
          <w:top w:val="single" w:sz="4" w:space="0" w:color="C9D0E0"/>
          <w:left w:val="single" w:sz="4" w:space="0" w:color="C9D0E0"/>
          <w:bottom w:val="single" w:sz="4" w:space="0" w:color="C9D0E0"/>
          <w:right w:val="single" w:sz="4" w:space="0" w:color="C9D0E0"/>
          <w:insideH w:val="single" w:sz="4" w:space="0" w:color="C9D0E0"/>
          <w:insideV w:val="single" w:sz="4" w:space="0" w:color="C9D0E0"/>
        </w:tblBorders>
        <w:tblLook w:val="04A0"/>
      </w:tblPr>
      <w:tblGrid>
        <w:gridCol w:w="2337"/>
        <w:gridCol w:w="2337"/>
        <w:gridCol w:w="2337"/>
        <w:gridCol w:w="2337"/>
      </w:tblGrid>
      <w:tr>
        <w:tc>
          <w:tcPr>
            <w:tcW w:w="2337" w:type="dxa"/>
            <w:shd w:val="clear" w:fill="E7EAF2"/>
            <w:vAlign w:val="top"/>
          </w:tcPr>
          <w:p>
            <w:r>
              <w:rPr>
                <w:b/>
              </w:rPr>
              <w:t xml:space="preserve">Name</w:t>
            </w:r>
          </w:p>
        </w:tc>
        <w:tc>
          <w:tcPr>
            <w:tcW w:w="2337" w:type="dxa"/>
            <w:shd w:val="clear" w:fill="E7EAF2"/>
            <w:vAlign w:val="top"/>
          </w:tcPr>
          <w:p>
            <w:r>
              <w:rPr>
                <w:b/>
              </w:rPr>
              <w:t xml:space="preserve">What it is</w:t>
            </w:r>
          </w:p>
        </w:tc>
        <w:tc>
          <w:tcPr>
            <w:tcW w:w="2337" w:type="dxa"/>
            <w:shd w:val="clear" w:fill="E7EAF2"/>
            <w:vAlign w:val="top"/>
          </w:tcPr>
          <w:p>
            <w:r>
              <w:rPr>
                <w:b/>
              </w:rPr>
              <w:t xml:space="preserve">Where to find it</w:t>
            </w:r>
          </w:p>
        </w:tc>
        <w:tc>
          <w:tcPr>
            <w:tcW w:w="2337" w:type="dxa"/>
            <w:shd w:val="clear" w:fill="E7EAF2"/>
            <w:vAlign w:val="top"/>
          </w:tcPr>
          <w:p>
            <w:r>
              <w:rPr>
                <w:b/>
              </w:rPr>
              <w:t xml:space="preserve">Action</w:t>
            </w:r>
          </w:p>
        </w:tc>
      </w:tr>
      <w:tr>
        <w:tc>
          <w:tcPr>
            <w:tcW w:w="2337" w:type="dxa"/>
            <w:vAlign w:val="top"/>
          </w:tcPr>
          <w:p>
            <w:r>
              <w:t xml:space="preserve">Kiosk Information Barrier segment</w:t>
            </w:r>
          </w:p>
        </w:tc>
        <w:tc>
          <w:tcPr>
            <w:tcW w:w="2337" w:type="dxa"/>
            <w:vAlign w:val="top"/>
          </w:tcPr>
          <w:p>
            <w:r>
              <w:t xml:space="preserve">Purview segment blocking kiosk-corporate visibility</w:t>
            </w:r>
          </w:p>
        </w:tc>
        <w:tc>
          <w:tcPr>
            <w:tcW w:w="2337" w:type="dxa"/>
            <w:vAlign w:val="top"/>
          </w:tcPr>
          <w:p>
            <w:r>
              <w:t xml:space="preserve">Microsoft Purview compliance portal &gt; Information barriers &gt; Segments</w:t>
            </w:r>
          </w:p>
        </w:tc>
        <w:tc>
          <w:tcPr>
            <w:tcW w:w="2337" w:type="dxa"/>
            <w:vAlign w:val="top"/>
          </w:tcPr>
          <w:p>
            <w:r>
              <w:t xml:space="preserve">Delete. Confirm no other segment depends on it first</w:t>
            </w:r>
          </w:p>
        </w:tc>
      </w:tr>
      <w:tr>
        <w:tc>
          <w:tcPr>
            <w:tcW w:w="2337" w:type="dxa"/>
            <w:vAlign w:val="top"/>
          </w:tcPr>
          <w:p>
            <w:r>
              <w:t xml:space="preserve">Kiosk Information Barrier policy</w:t>
            </w:r>
          </w:p>
        </w:tc>
        <w:tc>
          <w:tcPr>
            <w:tcW w:w="2337" w:type="dxa"/>
            <w:vAlign w:val="top"/>
          </w:tcPr>
          <w:p>
            <w:r>
              <w:t xml:space="preserve">The policy applying the segment above</w:t>
            </w:r>
          </w:p>
        </w:tc>
        <w:tc>
          <w:tcPr>
            <w:tcW w:w="2337" w:type="dxa"/>
            <w:vAlign w:val="top"/>
          </w:tcPr>
          <w:p>
            <w:r>
              <w:t xml:space="preserve">Microsoft Purview compliance portal &gt; Information barriers &gt; Policies</w:t>
            </w:r>
          </w:p>
        </w:tc>
        <w:tc>
          <w:tcPr>
            <w:tcW w:w="2337" w:type="dxa"/>
            <w:vAlign w:val="top"/>
          </w:tcPr>
          <w:p>
            <w:r>
              <w:t xml:space="preserve">Delete</w:t>
            </w:r>
          </w:p>
        </w:tc>
      </w:tr>
      <w:tr>
        <w:tc>
          <w:tcPr>
            <w:tcW w:w="2337" w:type="dxa"/>
            <w:vAlign w:val="top"/>
          </w:tcPr>
          <w:p>
            <w:r>
              <w:t xml:space="preserve">Cloud PKI root CA</w:t>
            </w:r>
          </w:p>
        </w:tc>
        <w:tc>
          <w:tcPr>
            <w:tcW w:w="2337" w:type="dxa"/>
            <w:vAlign w:val="top"/>
          </w:tcPr>
          <w:p>
            <w:r>
              <w:t xml:space="preserve">Root certificate authority for kiosk device certs</w:t>
            </w:r>
          </w:p>
        </w:tc>
        <w:tc>
          <w:tcPr>
            <w:tcW w:w="2337" w:type="dxa"/>
            <w:vAlign w:val="top"/>
          </w:tcPr>
          <w:p>
            <w:r>
              <w:t xml:space="preserve">Intune admin center &gt; Tenant administration &gt; Cloud PKI. Confirm exact CA name on portal</w:t>
            </w:r>
          </w:p>
        </w:tc>
        <w:tc>
          <w:tcPr>
            <w:tcW w:w="2337" w:type="dxa"/>
            <w:vAlign w:val="top"/>
          </w:tcPr>
          <w:p>
            <w:r>
              <w:rPr>
                <w:b/>
              </w:rPr>
              <w:t xml:space="preserve">Decision required</w:t>
            </w:r>
            <w:r>
              <w:t xml:space="preserve"> before revoking, see note below. Owner: with Cyber Security</w:t>
            </w:r>
          </w:p>
        </w:tc>
      </w:tr>
      <w:tr>
        <w:tc>
          <w:tcPr>
            <w:tcW w:w="2337" w:type="dxa"/>
            <w:vAlign w:val="top"/>
          </w:tcPr>
          <w:p>
            <w:r>
              <w:t xml:space="preserve">Cloud PKI issuing CA</w:t>
            </w:r>
          </w:p>
        </w:tc>
        <w:tc>
          <w:tcPr>
            <w:tcW w:w="2337" w:type="dxa"/>
            <w:vAlign w:val="top"/>
          </w:tcPr>
          <w:p>
            <w:r>
              <w:t xml:space="preserve">Issuing certificate authority under the root above</w:t>
            </w:r>
          </w:p>
        </w:tc>
        <w:tc>
          <w:tcPr>
            <w:tcW w:w="2337" w:type="dxa"/>
            <w:vAlign w:val="top"/>
          </w:tcPr>
          <w:p>
            <w:r>
              <w:t xml:space="preserve">Same blade</w:t>
            </w:r>
          </w:p>
        </w:tc>
        <w:tc>
          <w:tcPr>
            <w:tcW w:w="2337" w:type="dxa"/>
            <w:vAlign w:val="top"/>
          </w:tcPr>
          <w:p>
            <w:r>
              <w:t xml:space="preserve">Decision required, same as root CA</w:t>
            </w:r>
          </w:p>
        </w:tc>
      </w:tr>
      <w:tr>
        <w:tc>
          <w:tcPr>
            <w:tcW w:w="2337" w:type="dxa"/>
            <w:vAlign w:val="top"/>
          </w:tcPr>
          <w:p>
            <w:r>
              <w:t xml:space="preserve">SCEP certificate profile (kiosk)</w:t>
            </w:r>
          </w:p>
        </w:tc>
        <w:tc>
          <w:tcPr>
            <w:tcW w:w="2337" w:type="dxa"/>
            <w:vAlign w:val="top"/>
          </w:tcPr>
          <w:p>
            <w:r>
              <w:t xml:space="preserve">Delivers device certs to kiosk devices via the CAs above</w:t>
            </w:r>
          </w:p>
        </w:tc>
        <w:tc>
          <w:tcPr>
            <w:tcW w:w="2337" w:type="dxa"/>
            <w:vAlign w:val="top"/>
          </w:tcPr>
          <w:p>
            <w:r>
              <w:t xml:space="preserve">Intune admin center &gt; Devices &gt; Configuration profiles &gt; filter "kiosk" + "SCEP"</w:t>
            </w:r>
          </w:p>
        </w:tc>
        <w:tc>
          <w:tcPr>
            <w:tcW w:w="2337" w:type="dxa"/>
            <w:vAlign w:val="top"/>
          </w:tcPr>
          <w:p>
            <w:r>
              <w:t xml:space="preserve">Decision required, same as root CA</w:t>
            </w:r>
          </w:p>
        </w:tc>
      </w:tr>
    </w:tbl>
    <w:p>
      <w:pPr>
        <w:spacing w:after="160"/>
      </w:pPr>
      <w:r>
        <w:t xml:space="preserve"/>
      </w:r>
    </w:p>
    <w:p>
      <w:pPr>
        <w:spacing w:after="120"/>
      </w:pPr>
      <w:r>
        <w:t xml:space="preserve">Cloud PKI decision: confirm with the Standard User AVD SOE and Privileged Access design leads before revoking either CA. Revocation is not reversible.</w:t>
      </w:r>
    </w:p>
    <w:p>
      <w:pPr>
        <w:spacing w:after="120"/>
      </w:pPr>
      <w:r>
        <w:rPr>
          <w:b/>
        </w:rPr>
        <w:t xml:space="preserve">1f. Intune profiles and scripts (names as described in the Job Seeker Detailed Design V1.3; confirm exact Intune object name on portal before deleting)</w:t>
      </w:r>
    </w:p>
    <w:tbl>
      <w:tblPr>
        <w:tblW w:w="9350" w:type="dxa"/>
        <w:tblBorders>
          <w:top w:val="single" w:sz="4" w:space="0" w:color="C9D0E0"/>
          <w:left w:val="single" w:sz="4" w:space="0" w:color="C9D0E0"/>
          <w:bottom w:val="single" w:sz="4" w:space="0" w:color="C9D0E0"/>
          <w:right w:val="single" w:sz="4" w:space="0" w:color="C9D0E0"/>
          <w:insideH w:val="single" w:sz="4" w:space="0" w:color="C9D0E0"/>
          <w:insideV w:val="single" w:sz="4" w:space="0" w:color="C9D0E0"/>
        </w:tblBorders>
        <w:tblLook w:val="04A0"/>
      </w:tblPr>
      <w:tblGrid>
        <w:gridCol w:w="1870"/>
        <w:gridCol w:w="1870"/>
        <w:gridCol w:w="1870"/>
        <w:gridCol w:w="1870"/>
        <w:gridCol w:w="1870"/>
      </w:tblGrid>
      <w:tr>
        <w:tc>
          <w:tcPr>
            <w:tcW w:w="1870" w:type="dxa"/>
            <w:shd w:val="clear" w:fill="E7EAF2"/>
            <w:vAlign w:val="top"/>
          </w:tcPr>
          <w:p>
            <w:r>
              <w:rPr>
                <w:b/>
              </w:rPr>
              <w:t xml:space="preserve">#</w:t>
            </w:r>
          </w:p>
        </w:tc>
        <w:tc>
          <w:tcPr>
            <w:tcW w:w="1870" w:type="dxa"/>
            <w:shd w:val="clear" w:fill="E7EAF2"/>
            <w:vAlign w:val="top"/>
          </w:tcPr>
          <w:p>
            <w:r>
              <w:rPr>
                <w:b/>
              </w:rPr>
              <w:t xml:space="preserve">Item</w:t>
            </w:r>
          </w:p>
        </w:tc>
        <w:tc>
          <w:tcPr>
            <w:tcW w:w="1870" w:type="dxa"/>
            <w:shd w:val="clear" w:fill="E7EAF2"/>
            <w:vAlign w:val="top"/>
          </w:tcPr>
          <w:p>
            <w:r>
              <w:rPr>
                <w:b/>
              </w:rPr>
              <w:t xml:space="preserve">Function</w:t>
            </w:r>
          </w:p>
        </w:tc>
        <w:tc>
          <w:tcPr>
            <w:tcW w:w="1870" w:type="dxa"/>
            <w:shd w:val="clear" w:fill="E7EAF2"/>
            <w:vAlign w:val="top"/>
          </w:tcPr>
          <w:p>
            <w:r>
              <w:rPr>
                <w:b/>
              </w:rPr>
              <w:t xml:space="preserve">Where to find it</w:t>
            </w:r>
          </w:p>
        </w:tc>
        <w:tc>
          <w:tcPr>
            <w:tcW w:w="1870" w:type="dxa"/>
            <w:shd w:val="clear" w:fill="E7EAF2"/>
            <w:vAlign w:val="top"/>
          </w:tcPr>
          <w:p>
            <w:r>
              <w:rPr>
                <w:b/>
              </w:rPr>
              <w:t xml:space="preserve">Action</w:t>
            </w:r>
          </w:p>
        </w:tc>
      </w:tr>
      <w:tr>
        <w:tc>
          <w:tcPr>
            <w:tcW w:w="1870" w:type="dxa"/>
            <w:vAlign w:val="top"/>
          </w:tcPr>
          <w:p>
            <w:r>
              <w:t xml:space="preserve">1</w:t>
            </w:r>
          </w:p>
        </w:tc>
        <w:tc>
          <w:tcPr>
            <w:tcW w:w="1870" w:type="dxa"/>
            <w:vAlign w:val="top"/>
          </w:tcPr>
          <w:p>
            <w:r>
              <w:t xml:space="preserve">Assigned Access configuration profile</w:t>
            </w:r>
          </w:p>
        </w:tc>
        <w:tc>
          <w:tcPr>
            <w:tcW w:w="1870" w:type="dxa"/>
            <w:vAlign w:val="top"/>
          </w:tcPr>
          <w:p>
            <w:r>
              <w:t xml:space="preserve">Locks the kiosk AVD session to the kiosk shell</w:t>
            </w:r>
          </w:p>
        </w:tc>
        <w:tc>
          <w:tcPr>
            <w:tcW w:w="1870" w:type="dxa"/>
            <w:vAlign w:val="top"/>
          </w:tcPr>
          <w:p>
            <w:r>
              <w:t xml:space="preserve">Intune admin center &gt; Devices &gt; Configuration profiles &gt; filter "kiosk"</w:t>
            </w:r>
          </w:p>
        </w:tc>
        <w:tc>
          <w:tcPr>
            <w:tcW w:w="1870" w:type="dxa"/>
            <w:vAlign w:val="top"/>
          </w:tcPr>
          <w:p>
            <w:r>
              <w:t xml:space="preserve">Delete. Owner: Digital Delivery</w:t>
            </w:r>
          </w:p>
        </w:tc>
      </w:tr>
      <w:tr>
        <w:tc>
          <w:tcPr>
            <w:tcW w:w="1870" w:type="dxa"/>
            <w:vAlign w:val="top"/>
          </w:tcPr>
          <w:p>
            <w:r>
              <w:t xml:space="preserve">2</w:t>
            </w:r>
          </w:p>
        </w:tc>
        <w:tc>
          <w:tcPr>
            <w:tcW w:w="1870" w:type="dxa"/>
            <w:vAlign w:val="top"/>
          </w:tcPr>
          <w:p>
            <w:r>
              <w:t xml:space="preserve">Lock-screen remediation script</w:t>
            </w:r>
          </w:p>
        </w:tc>
        <w:tc>
          <w:tcPr>
            <w:tcW w:w="1870" w:type="dxa"/>
            <w:vAlign w:val="top"/>
          </w:tcPr>
          <w:p>
            <w:r>
              <w:t xml:space="preserve">Proactive Remediation generating the per-device lock-screen image</w:t>
            </w:r>
          </w:p>
        </w:tc>
        <w:tc>
          <w:tcPr>
            <w:tcW w:w="1870" w:type="dxa"/>
            <w:vAlign w:val="top"/>
          </w:tcPr>
          <w:p>
            <w:r>
              <w:t xml:space="preserve">Intune admin center &gt; Devices &gt; Scripts and remediations &gt; filter "kiosk"</w:t>
            </w:r>
          </w:p>
        </w:tc>
        <w:tc>
          <w:tcPr>
            <w:tcW w:w="1870" w:type="dxa"/>
            <w:vAlign w:val="top"/>
          </w:tcPr>
          <w:p>
            <w:r>
              <w:t xml:space="preserve">Delete</w:t>
            </w:r>
          </w:p>
        </w:tc>
      </w:tr>
      <w:tr>
        <w:tc>
          <w:tcPr>
            <w:tcW w:w="1870" w:type="dxa"/>
            <w:vAlign w:val="top"/>
          </w:tcPr>
          <w:p>
            <w:r>
              <w:t xml:space="preserve">3</w:t>
            </w:r>
          </w:p>
        </w:tc>
        <w:tc>
          <w:tcPr>
            <w:tcW w:w="1870" w:type="dxa"/>
            <w:vAlign w:val="top"/>
          </w:tcPr>
          <w:p>
            <w:r>
              <w:t xml:space="preserve">OneDrive purge script</w:t>
            </w:r>
          </w:p>
        </w:tc>
        <w:tc>
          <w:tcPr>
            <w:tcW w:w="1870" w:type="dxa"/>
            <w:vAlign w:val="top"/>
          </w:tcPr>
          <w:p>
            <w:r>
              <w:t xml:space="preserve">Clears kiosk session data between users</w:t>
            </w:r>
          </w:p>
        </w:tc>
        <w:tc>
          <w:tcPr>
            <w:tcW w:w="1870" w:type="dxa"/>
            <w:vAlign w:val="top"/>
          </w:tcPr>
          <w:p>
            <w:r>
              <w:t xml:space="preserve">Intune admin center &gt; Devices &gt; Scripts and remediations &gt; filter "kiosk"</w:t>
            </w:r>
          </w:p>
        </w:tc>
        <w:tc>
          <w:tcPr>
            <w:tcW w:w="1870" w:type="dxa"/>
            <w:vAlign w:val="top"/>
          </w:tcPr>
          <w:p>
            <w:r>
              <w:t xml:space="preserve">Delete</w:t>
            </w:r>
          </w:p>
        </w:tc>
      </w:tr>
      <w:tr>
        <w:tc>
          <w:tcPr>
            <w:tcW w:w="1870" w:type="dxa"/>
            <w:vAlign w:val="top"/>
          </w:tcPr>
          <w:p>
            <w:r>
              <w:t xml:space="preserve">4</w:t>
            </w:r>
          </w:p>
        </w:tc>
        <w:tc>
          <w:tcPr>
            <w:tcW w:w="1870" w:type="dxa"/>
            <w:vAlign w:val="top"/>
          </w:tcPr>
          <w:p>
            <w:r>
              <w:t xml:space="preserve">Logon lockdown policy</w:t>
            </w:r>
          </w:p>
        </w:tc>
        <w:tc>
          <w:tcPr>
            <w:tcW w:w="1870" w:type="dxa"/>
            <w:vAlign w:val="top"/>
          </w:tcPr>
          <w:p>
            <w:r>
              <w:t xml:space="preserve">Restricts which accounts may sign in to a kiosk device</w:t>
            </w:r>
          </w:p>
        </w:tc>
        <w:tc>
          <w:tcPr>
            <w:tcW w:w="1870" w:type="dxa"/>
            <w:vAlign w:val="top"/>
          </w:tcPr>
          <w:p>
            <w:r>
              <w:t xml:space="preserve">Intune admin center &gt; Devices &gt; Configuration profiles &gt; filter "kiosk"</w:t>
            </w:r>
          </w:p>
        </w:tc>
        <w:tc>
          <w:tcPr>
            <w:tcW w:w="1870" w:type="dxa"/>
            <w:vAlign w:val="top"/>
          </w:tcPr>
          <w:p>
            <w:r>
              <w:t xml:space="preserve">Delete</w:t>
            </w:r>
          </w:p>
        </w:tc>
      </w:tr>
      <w:tr>
        <w:tc>
          <w:tcPr>
            <w:tcW w:w="1870" w:type="dxa"/>
            <w:vAlign w:val="top"/>
          </w:tcPr>
          <w:p>
            <w:r>
              <w:t xml:space="preserve">5</w:t>
            </w:r>
          </w:p>
        </w:tc>
        <w:tc>
          <w:tcPr>
            <w:tcW w:w="1870" w:type="dxa"/>
            <w:vAlign w:val="top"/>
          </w:tcPr>
          <w:p>
            <w:r>
              <w:t xml:space="preserve">Kiosk Windows Update ring policy or policies</w:t>
            </w:r>
          </w:p>
        </w:tc>
        <w:tc>
          <w:tcPr>
            <w:tcW w:w="1870" w:type="dxa"/>
            <w:vAlign w:val="top"/>
          </w:tcPr>
          <w:p>
            <w:r>
              <w:t xml:space="preserve">Patch ring(s) scoped to the kiosk device group</w:t>
            </w:r>
          </w:p>
        </w:tc>
        <w:tc>
          <w:tcPr>
            <w:tcW w:w="1870" w:type="dxa"/>
            <w:vAlign w:val="top"/>
          </w:tcPr>
          <w:p>
            <w:r>
              <w:t xml:space="preserve">Intune admin center &gt; Devices &gt; Windows Update rings &gt; filter "kiosk"</w:t>
            </w:r>
          </w:p>
        </w:tc>
        <w:tc>
          <w:tcPr>
            <w:tcW w:w="1870" w:type="dxa"/>
            <w:vAlign w:val="top"/>
          </w:tcPr>
          <w:p>
            <w:r>
              <w:t xml:space="preserve">Delete</w:t>
            </w:r>
          </w:p>
        </w:tc>
      </w:tr>
    </w:tbl>
    <w:p>
      <w:pPr>
        <w:spacing w:after="160"/>
      </w:pPr>
      <w:r>
        <w:t xml:space="preserve"/>
      </w:r>
    </w:p>
    <w:p>
      <w:pPr>
        <w:spacing w:after="120"/>
      </w:pPr>
      <w:r>
        <w:rPr>
          <w:b/>
        </w:rPr>
        <w:t xml:space="preserve">1g. Device-side artefacts</w:t>
      </w:r>
    </w:p>
    <w:tbl>
      <w:tblPr>
        <w:tblW w:w="9350" w:type="dxa"/>
        <w:tblBorders>
          <w:top w:val="single" w:sz="4" w:space="0" w:color="C9D0E0"/>
          <w:left w:val="single" w:sz="4" w:space="0" w:color="C9D0E0"/>
          <w:bottom w:val="single" w:sz="4" w:space="0" w:color="C9D0E0"/>
          <w:right w:val="single" w:sz="4" w:space="0" w:color="C9D0E0"/>
          <w:insideH w:val="single" w:sz="4" w:space="0" w:color="C9D0E0"/>
          <w:insideV w:val="single" w:sz="4" w:space="0" w:color="C9D0E0"/>
        </w:tblBorders>
        <w:tblLook w:val="04A0"/>
      </w:tblPr>
      <w:tblGrid>
        <w:gridCol w:w="2337"/>
        <w:gridCol w:w="2337"/>
        <w:gridCol w:w="2337"/>
        <w:gridCol w:w="2337"/>
      </w:tblGrid>
      <w:tr>
        <w:tc>
          <w:tcPr>
            <w:tcW w:w="2337" w:type="dxa"/>
            <w:shd w:val="clear" w:fill="E7EAF2"/>
            <w:vAlign w:val="top"/>
          </w:tcPr>
          <w:p>
            <w:r>
              <w:rPr>
                <w:b/>
              </w:rPr>
              <w:t xml:space="preserve">Name</w:t>
            </w:r>
          </w:p>
        </w:tc>
        <w:tc>
          <w:tcPr>
            <w:tcW w:w="2337" w:type="dxa"/>
            <w:shd w:val="clear" w:fill="E7EAF2"/>
            <w:vAlign w:val="top"/>
          </w:tcPr>
          <w:p>
            <w:r>
              <w:rPr>
                <w:b/>
              </w:rPr>
              <w:t xml:space="preserve">What it is</w:t>
            </w:r>
          </w:p>
        </w:tc>
        <w:tc>
          <w:tcPr>
            <w:tcW w:w="2337" w:type="dxa"/>
            <w:shd w:val="clear" w:fill="E7EAF2"/>
            <w:vAlign w:val="top"/>
          </w:tcPr>
          <w:p>
            <w:r>
              <w:rPr>
                <w:b/>
              </w:rPr>
              <w:t xml:space="preserve">Where to find it</w:t>
            </w:r>
          </w:p>
        </w:tc>
        <w:tc>
          <w:tcPr>
            <w:tcW w:w="2337" w:type="dxa"/>
            <w:shd w:val="clear" w:fill="E7EAF2"/>
            <w:vAlign w:val="top"/>
          </w:tcPr>
          <w:p>
            <w:r>
              <w:rPr>
                <w:b/>
              </w:rPr>
              <w:t xml:space="preserve">Action</w:t>
            </w:r>
          </w:p>
        </w:tc>
      </w:tr>
      <w:tr>
        <w:tc>
          <w:tcPr>
            <w:tcW w:w="2337" w:type="dxa"/>
            <w:vAlign w:val="top"/>
          </w:tcPr>
          <w:p>
            <w:r>
              <w:t xml:space="preserve">Device-side artefacts</w:t>
            </w:r>
          </w:p>
        </w:tc>
        <w:tc>
          <w:tcPr>
            <w:tcW w:w="2337" w:type="dxa"/>
            <w:vAlign w:val="top"/>
          </w:tcPr>
          <w:p>
            <w:r>
              <w:t xml:space="preserve">Local files and scheduled tasks on pilot devices</w:t>
            </w:r>
          </w:p>
        </w:tc>
        <w:tc>
          <w:tcPr>
            <w:tcW w:w="2337" w:type="dxa"/>
            <w:vAlign w:val="top"/>
          </w:tcPr>
          <w:p>
            <w:r>
              <w:rPr>
                <w:rFonts w:ascii="Consolas" w:hAnsi="Consolas"/>
              </w:rPr>
              <w:t xml:space="preserve">C:\APM\Kiosk</w:t>
            </w:r>
            <w:r>
              <w:t xml:space="preserve"> on each provisioned pilot device</w:t>
            </w:r>
          </w:p>
        </w:tc>
        <w:tc>
          <w:tcPr>
            <w:tcW w:w="2337" w:type="dxa"/>
            <w:vAlign w:val="top"/>
          </w:tcPr>
          <w:p>
            <w:r>
              <w:t xml:space="preserve">Wipe and re-provision. Owner: Deployment Team</w:t>
            </w:r>
          </w:p>
        </w:tc>
      </w:tr>
    </w:tbl>
    <w:p>
      <w:pPr>
        <w:spacing w:after="160"/>
      </w:pPr>
      <w:r>
        <w:t xml:space="preserve"/>
      </w:r>
    </w:p>
    <w:p>
      <w:pPr>
        <w:pStyle w:val="Heading2"/>
      </w:pPr>
      <w:r>
        <w:t xml:space="preserve">2. Azure resources</w:t>
      </w:r>
    </w:p>
    <w:p>
      <w:pPr>
        <w:spacing w:after="120"/>
      </w:pPr>
      <w:r>
        <w:t xml:space="preserve">Owner: Cloud and Azure.</w:t>
      </w:r>
    </w:p>
    <w:p>
      <w:pPr>
        <w:spacing w:after="120"/>
      </w:pPr>
      <w:r>
        <w:rPr>
          <w:b/>
        </w:rPr>
        <w:t xml:space="preserve">2a. Credential pipeline compute and storage</w:t>
      </w:r>
    </w:p>
    <w:tbl>
      <w:tblPr>
        <w:tblW w:w="9350" w:type="dxa"/>
        <w:tblBorders>
          <w:top w:val="single" w:sz="4" w:space="0" w:color="C9D0E0"/>
          <w:left w:val="single" w:sz="4" w:space="0" w:color="C9D0E0"/>
          <w:bottom w:val="single" w:sz="4" w:space="0" w:color="C9D0E0"/>
          <w:right w:val="single" w:sz="4" w:space="0" w:color="C9D0E0"/>
          <w:insideH w:val="single" w:sz="4" w:space="0" w:color="C9D0E0"/>
          <w:insideV w:val="single" w:sz="4" w:space="0" w:color="C9D0E0"/>
        </w:tblBorders>
        <w:tblLook w:val="04A0"/>
      </w:tblPr>
      <w:tblGrid>
        <w:gridCol w:w="2337"/>
        <w:gridCol w:w="2337"/>
        <w:gridCol w:w="2337"/>
        <w:gridCol w:w="2337"/>
      </w:tblGrid>
      <w:tr>
        <w:tc>
          <w:tcPr>
            <w:tcW w:w="2337" w:type="dxa"/>
            <w:shd w:val="clear" w:fill="E7EAF2"/>
            <w:vAlign w:val="top"/>
          </w:tcPr>
          <w:p>
            <w:r>
              <w:rPr>
                <w:b/>
              </w:rPr>
              <w:t xml:space="preserve">Name</w:t>
            </w:r>
          </w:p>
        </w:tc>
        <w:tc>
          <w:tcPr>
            <w:tcW w:w="2337" w:type="dxa"/>
            <w:shd w:val="clear" w:fill="E7EAF2"/>
            <w:vAlign w:val="top"/>
          </w:tcPr>
          <w:p>
            <w:r>
              <w:rPr>
                <w:b/>
              </w:rPr>
              <w:t xml:space="preserve">What it is</w:t>
            </w:r>
          </w:p>
        </w:tc>
        <w:tc>
          <w:tcPr>
            <w:tcW w:w="2337" w:type="dxa"/>
            <w:shd w:val="clear" w:fill="E7EAF2"/>
            <w:vAlign w:val="top"/>
          </w:tcPr>
          <w:p>
            <w:r>
              <w:rPr>
                <w:b/>
              </w:rPr>
              <w:t xml:space="preserve">Where to find it</w:t>
            </w:r>
          </w:p>
        </w:tc>
        <w:tc>
          <w:tcPr>
            <w:tcW w:w="2337" w:type="dxa"/>
            <w:shd w:val="clear" w:fill="E7EAF2"/>
            <w:vAlign w:val="top"/>
          </w:tcPr>
          <w:p>
            <w:r>
              <w:rPr>
                <w:b/>
              </w:rPr>
              <w:t xml:space="preserve">Action</w:t>
            </w:r>
          </w:p>
        </w:tc>
      </w:tr>
      <w:tr>
        <w:tc>
          <w:tcPr>
            <w:tcW w:w="2337" w:type="dxa"/>
            <w:vAlign w:val="top"/>
          </w:tcPr>
          <w:p>
            <w:r>
              <w:t xml:space="preserve">Credential Proxy Function App</w:t>
            </w:r>
          </w:p>
        </w:tc>
        <w:tc>
          <w:tcPr>
            <w:tcW w:w="2337" w:type="dxa"/>
            <w:vAlign w:val="top"/>
          </w:tcPr>
          <w:p>
            <w:r>
              <w:t xml:space="preserve">The only internet-facing ingress this design created</w:t>
            </w:r>
          </w:p>
        </w:tc>
        <w:tc>
          <w:tcPr>
            <w:tcW w:w="2337" w:type="dxa"/>
            <w:vAlign w:val="top"/>
          </w:tcPr>
          <w:p>
            <w:r>
              <w:t xml:space="preserve">Azure Portal search bar &gt; paste </w:t>
            </w:r>
            <w:r>
              <w:rPr>
                <w:rFonts w:ascii="Consolas" w:hAnsi="Consolas"/>
              </w:rPr>
              <w:t xml:space="preserve">auea-pep-func-apm-kiosk-cred-001</w:t>
            </w:r>
            <w:r>
              <w:t xml:space="preserve"> to locate the private endpoint, then open the linked Function App</w:t>
            </w:r>
          </w:p>
        </w:tc>
        <w:tc>
          <w:tcPr>
            <w:tcW w:w="2337" w:type="dxa"/>
            <w:vAlign w:val="top"/>
          </w:tcPr>
          <w:p>
            <w:r>
              <w:t xml:space="preserve">Remove the public endpoint first, confirm zero calls, then delete</w:t>
            </w:r>
          </w:p>
        </w:tc>
      </w:tr>
      <w:tr>
        <w:tc>
          <w:tcPr>
            <w:tcW w:w="2337" w:type="dxa"/>
            <w:vAlign w:val="top"/>
          </w:tcPr>
          <w:p>
            <w:r>
              <w:t xml:space="preserve">Credential Proxy App Service plan</w:t>
            </w:r>
          </w:p>
        </w:tc>
        <w:tc>
          <w:tcPr>
            <w:tcW w:w="2337" w:type="dxa"/>
            <w:vAlign w:val="top"/>
          </w:tcPr>
          <w:p>
            <w:r>
              <w:t xml:space="preserve">Hosting plan for the Function App above</w:t>
            </w:r>
          </w:p>
        </w:tc>
        <w:tc>
          <w:tcPr>
            <w:tcW w:w="2337" w:type="dxa"/>
            <w:vAlign w:val="top"/>
          </w:tcPr>
          <w:p>
            <w:r>
              <w:t xml:space="preserve">Same Function App resource &gt; Overview &gt; App Service plan</w:t>
            </w:r>
          </w:p>
        </w:tc>
        <w:tc>
          <w:tcPr>
            <w:tcW w:w="2337" w:type="dxa"/>
            <w:vAlign w:val="top"/>
          </w:tcPr>
          <w:p>
            <w:r>
              <w:t xml:space="preserve">Delete with the Function App</w:t>
            </w:r>
          </w:p>
        </w:tc>
      </w:tr>
      <w:tr>
        <w:tc>
          <w:tcPr>
            <w:tcW w:w="2337" w:type="dxa"/>
            <w:vAlign w:val="top"/>
          </w:tcPr>
          <w:p>
            <w:r>
              <w:t xml:space="preserve">Key Vault auea-kv-apm-kiosk-001</w:t>
            </w:r>
          </w:p>
        </w:tc>
        <w:tc>
          <w:tcPr>
            <w:tcW w:w="2337" w:type="dxa"/>
            <w:vAlign w:val="top"/>
          </w:tcPr>
          <w:p>
            <w:r>
              <w:t xml:space="preserve">Stores each device's password</w:t>
            </w:r>
          </w:p>
        </w:tc>
        <w:tc>
          <w:tcPr>
            <w:tcW w:w="2337" w:type="dxa"/>
            <w:vAlign w:val="top"/>
          </w:tcPr>
          <w:p>
            <w:r>
              <w:t xml:space="preserve">Azure Portal search bar &gt; paste </w:t>
            </w:r>
            <w:r>
              <w:rPr>
                <w:rFonts w:ascii="Consolas" w:hAnsi="Consolas"/>
              </w:rPr>
              <w:t xml:space="preserve">auea-kv-apm-kiosk-001</w:t>
            </w:r>
          </w:p>
        </w:tc>
        <w:tc>
          <w:tcPr>
            <w:tcW w:w="2337" w:type="dxa"/>
            <w:vAlign w:val="top"/>
          </w:tcPr>
          <w:p>
            <w:r>
              <w:t xml:space="preserve">Export audit log, delete, purge after the 90-day soft-delete window. Do not repurpose for AVD</w:t>
            </w:r>
          </w:p>
        </w:tc>
      </w:tr>
      <w:tr>
        <w:tc>
          <w:tcPr>
            <w:tcW w:w="2337" w:type="dxa"/>
            <w:vAlign w:val="top"/>
          </w:tcPr>
          <w:p>
            <w:r>
              <w:t xml:space="preserve">Function App storage: blob endpoint</w:t>
            </w:r>
          </w:p>
        </w:tc>
        <w:tc>
          <w:tcPr>
            <w:tcW w:w="2337" w:type="dxa"/>
            <w:vAlign w:val="top"/>
          </w:tcPr>
          <w:p>
            <w:r>
              <w:t xml:space="preserve">Backs the Credential Proxy runtime</w:t>
            </w:r>
          </w:p>
        </w:tc>
        <w:tc>
          <w:tcPr>
            <w:tcW w:w="2337" w:type="dxa"/>
            <w:vAlign w:val="top"/>
          </w:tcPr>
          <w:p>
            <w:r>
              <w:t xml:space="preserve">Search </w:t>
            </w:r>
            <w:r>
              <w:rPr>
                <w:rFonts w:ascii="Consolas" w:hAnsi="Consolas"/>
              </w:rPr>
              <w:t xml:space="preserve">auea-pep-stg-apm-func-blob-001</w:t>
            </w:r>
          </w:p>
        </w:tc>
        <w:tc>
          <w:tcPr>
            <w:tcW w:w="2337" w:type="dxa"/>
            <w:vAlign w:val="top"/>
          </w:tcPr>
          <w:p>
            <w:r>
              <w:t xml:space="preserve">Delete with the Function App</w:t>
            </w:r>
          </w:p>
        </w:tc>
      </w:tr>
      <w:tr>
        <w:tc>
          <w:tcPr>
            <w:tcW w:w="2337" w:type="dxa"/>
            <w:vAlign w:val="top"/>
          </w:tcPr>
          <w:p>
            <w:r>
              <w:t xml:space="preserve">Function App storage: table endpoint</w:t>
            </w:r>
          </w:p>
        </w:tc>
        <w:tc>
          <w:tcPr>
            <w:tcW w:w="2337" w:type="dxa"/>
            <w:vAlign w:val="top"/>
          </w:tcPr>
          <w:p>
            <w:r>
              <w:t xml:space="preserve">Backs the Credential Proxy runtime</w:t>
            </w:r>
          </w:p>
        </w:tc>
        <w:tc>
          <w:tcPr>
            <w:tcW w:w="2337" w:type="dxa"/>
            <w:vAlign w:val="top"/>
          </w:tcPr>
          <w:p>
            <w:r>
              <w:t xml:space="preserve">Search </w:t>
            </w:r>
            <w:r>
              <w:rPr>
                <w:rFonts w:ascii="Consolas" w:hAnsi="Consolas"/>
              </w:rPr>
              <w:t xml:space="preserve">auea-pep-stg-apm-func-table-001</w:t>
            </w:r>
          </w:p>
        </w:tc>
        <w:tc>
          <w:tcPr>
            <w:tcW w:w="2337" w:type="dxa"/>
            <w:vAlign w:val="top"/>
          </w:tcPr>
          <w:p>
            <w:r>
              <w:t xml:space="preserve">Delete with the Function App</w:t>
            </w:r>
          </w:p>
        </w:tc>
      </w:tr>
      <w:tr>
        <w:tc>
          <w:tcPr>
            <w:tcW w:w="2337" w:type="dxa"/>
            <w:vAlign w:val="top"/>
          </w:tcPr>
          <w:p>
            <w:r>
              <w:t xml:space="preserve">Function App storage: queue endpoint</w:t>
            </w:r>
          </w:p>
        </w:tc>
        <w:tc>
          <w:tcPr>
            <w:tcW w:w="2337" w:type="dxa"/>
            <w:vAlign w:val="top"/>
          </w:tcPr>
          <w:p>
            <w:r>
              <w:t xml:space="preserve">Backs the Credential Proxy runtime</w:t>
            </w:r>
          </w:p>
        </w:tc>
        <w:tc>
          <w:tcPr>
            <w:tcW w:w="2337" w:type="dxa"/>
            <w:vAlign w:val="top"/>
          </w:tcPr>
          <w:p>
            <w:r>
              <w:t xml:space="preserve">Search </w:t>
            </w:r>
            <w:r>
              <w:rPr>
                <w:rFonts w:ascii="Consolas" w:hAnsi="Consolas"/>
              </w:rPr>
              <w:t xml:space="preserve">auea-pep-stg-apm-func-queue-001</w:t>
            </w:r>
          </w:p>
        </w:tc>
        <w:tc>
          <w:tcPr>
            <w:tcW w:w="2337" w:type="dxa"/>
            <w:vAlign w:val="top"/>
          </w:tcPr>
          <w:p>
            <w:r>
              <w:t xml:space="preserve">Delete with the Function App</w:t>
            </w:r>
          </w:p>
        </w:tc>
      </w:tr>
      <w:tr>
        <w:tc>
          <w:tcPr>
            <w:tcW w:w="2337" w:type="dxa"/>
            <w:vAlign w:val="top"/>
          </w:tcPr>
          <w:p>
            <w:r>
              <w:t xml:space="preserve">Automation account</w:t>
            </w:r>
          </w:p>
        </w:tc>
        <w:tc>
          <w:tcPr>
            <w:tcW w:w="2337" w:type="dxa"/>
            <w:vAlign w:val="top"/>
          </w:tcPr>
          <w:p>
            <w:r>
              <w:t xml:space="preserve">Hosts the three runbooks below</w:t>
            </w:r>
          </w:p>
        </w:tc>
        <w:tc>
          <w:tcPr>
            <w:tcW w:w="2337" w:type="dxa"/>
            <w:vAlign w:val="top"/>
          </w:tcPr>
          <w:p>
            <w:r>
              <w:t xml:space="preserve">Azure Portal &gt; Automation Accounts &gt; filter "kiosk"</w:t>
            </w:r>
          </w:p>
        </w:tc>
        <w:tc>
          <w:tcPr>
            <w:tcW w:w="2337" w:type="dxa"/>
            <w:vAlign w:val="top"/>
          </w:tcPr>
          <w:p>
            <w:r>
              <w:t xml:space="preserve">Delete once its runbooks are removed</w:t>
            </w:r>
          </w:p>
        </w:tc>
      </w:tr>
      <w:tr>
        <w:tc>
          <w:tcPr>
            <w:tcW w:w="2337" w:type="dxa"/>
            <w:vAlign w:val="top"/>
          </w:tcPr>
          <w:p>
            <w:r>
              <w:t xml:space="preserve">Account creation runbook</w:t>
            </w:r>
          </w:p>
        </w:tc>
        <w:tc>
          <w:tcPr>
            <w:tcW w:w="2337" w:type="dxa"/>
            <w:vAlign w:val="top"/>
          </w:tcPr>
          <w:p>
            <w:r>
              <w:t xml:space="preserve">Creates each kiosk device's Entra ID account and Key Vault secret</w:t>
            </w:r>
          </w:p>
        </w:tc>
        <w:tc>
          <w:tcPr>
            <w:tcW w:w="2337" w:type="dxa"/>
            <w:vAlign w:val="top"/>
          </w:tcPr>
          <w:p>
            <w:r>
              <w:t xml:space="preserve">Automation account above &gt; Runbooks</w:t>
            </w:r>
          </w:p>
        </w:tc>
        <w:tc>
          <w:tcPr>
            <w:tcW w:w="2337" w:type="dxa"/>
            <w:vAlign w:val="top"/>
          </w:tcPr>
          <w:p>
            <w:r>
              <w:t xml:space="preserve">Delete, with its schedule and managed identity role assignment</w:t>
            </w:r>
          </w:p>
        </w:tc>
      </w:tr>
      <w:tr>
        <w:tc>
          <w:tcPr>
            <w:tcW w:w="2337" w:type="dxa"/>
            <w:vAlign w:val="top"/>
          </w:tcPr>
          <w:p>
            <w:r>
              <w:t xml:space="preserve">Password rotation runbook</w:t>
            </w:r>
          </w:p>
        </w:tc>
        <w:tc>
          <w:tcPr>
            <w:tcW w:w="2337" w:type="dxa"/>
            <w:vAlign w:val="top"/>
          </w:tcPr>
          <w:p>
            <w:r>
              <w:t xml:space="preserve">Rotates each device's password and Key Vault secret</w:t>
            </w:r>
          </w:p>
        </w:tc>
        <w:tc>
          <w:tcPr>
            <w:tcW w:w="2337" w:type="dxa"/>
            <w:vAlign w:val="top"/>
          </w:tcPr>
          <w:p>
            <w:r>
              <w:t xml:space="preserve">Automation account above &gt; Runbooks</w:t>
            </w:r>
          </w:p>
        </w:tc>
        <w:tc>
          <w:tcPr>
            <w:tcW w:w="2337" w:type="dxa"/>
            <w:vAlign w:val="top"/>
          </w:tcPr>
          <w:p>
            <w:r>
              <w:t xml:space="preserve">Delete, with its schedule and managed identity role assignment</w:t>
            </w:r>
          </w:p>
        </w:tc>
      </w:tr>
      <w:tr>
        <w:tc>
          <w:tcPr>
            <w:tcW w:w="2337" w:type="dxa"/>
            <w:vAlign w:val="top"/>
          </w:tcPr>
          <w:p>
            <w:r>
              <w:t xml:space="preserve">OneDrive purge runbook</w:t>
            </w:r>
          </w:p>
        </w:tc>
        <w:tc>
          <w:tcPr>
            <w:tcW w:w="2337" w:type="dxa"/>
            <w:vAlign w:val="top"/>
          </w:tcPr>
          <w:p>
            <w:r>
              <w:t xml:space="preserve">Clears kiosk OneDrive content</w:t>
            </w:r>
          </w:p>
        </w:tc>
        <w:tc>
          <w:tcPr>
            <w:tcW w:w="2337" w:type="dxa"/>
            <w:vAlign w:val="top"/>
          </w:tcPr>
          <w:p>
            <w:r>
              <w:t xml:space="preserve">Automation account above &gt; Runbooks</w:t>
            </w:r>
          </w:p>
        </w:tc>
        <w:tc>
          <w:tcPr>
            <w:tcW w:w="2337" w:type="dxa"/>
            <w:vAlign w:val="top"/>
          </w:tcPr>
          <w:p>
            <w:r>
              <w:t xml:space="preserve">Delete, with its schedule and managed identity role assignment</w:t>
            </w:r>
          </w:p>
        </w:tc>
      </w:tr>
    </w:tbl>
    <w:p>
      <w:pPr>
        <w:spacing w:after="160"/>
      </w:pPr>
      <w:r>
        <w:t xml:space="preserve"/>
      </w:r>
    </w:p>
    <w:p>
      <w:pPr>
        <w:spacing w:after="120"/>
      </w:pPr>
      <w:r>
        <w:rPr>
          <w:b/>
        </w:rPr>
        <w:t xml:space="preserve">2b. Monitoring, network and routing</w:t>
      </w:r>
    </w:p>
    <w:tbl>
      <w:tblPr>
        <w:tblW w:w="9350" w:type="dxa"/>
        <w:tblBorders>
          <w:top w:val="single" w:sz="4" w:space="0" w:color="C9D0E0"/>
          <w:left w:val="single" w:sz="4" w:space="0" w:color="C9D0E0"/>
          <w:bottom w:val="single" w:sz="4" w:space="0" w:color="C9D0E0"/>
          <w:right w:val="single" w:sz="4" w:space="0" w:color="C9D0E0"/>
          <w:insideH w:val="single" w:sz="4" w:space="0" w:color="C9D0E0"/>
          <w:insideV w:val="single" w:sz="4" w:space="0" w:color="C9D0E0"/>
        </w:tblBorders>
        <w:tblLook w:val="04A0"/>
      </w:tblPr>
      <w:tblGrid>
        <w:gridCol w:w="2337"/>
        <w:gridCol w:w="2337"/>
        <w:gridCol w:w="2337"/>
        <w:gridCol w:w="2337"/>
      </w:tblGrid>
      <w:tr>
        <w:tc>
          <w:tcPr>
            <w:tcW w:w="2337" w:type="dxa"/>
            <w:shd w:val="clear" w:fill="E7EAF2"/>
            <w:vAlign w:val="top"/>
          </w:tcPr>
          <w:p>
            <w:r>
              <w:rPr>
                <w:b/>
              </w:rPr>
              <w:t xml:space="preserve">Name</w:t>
            </w:r>
          </w:p>
        </w:tc>
        <w:tc>
          <w:tcPr>
            <w:tcW w:w="2337" w:type="dxa"/>
            <w:shd w:val="clear" w:fill="E7EAF2"/>
            <w:vAlign w:val="top"/>
          </w:tcPr>
          <w:p>
            <w:r>
              <w:rPr>
                <w:b/>
              </w:rPr>
              <w:t xml:space="preserve">What it is</w:t>
            </w:r>
          </w:p>
        </w:tc>
        <w:tc>
          <w:tcPr>
            <w:tcW w:w="2337" w:type="dxa"/>
            <w:shd w:val="clear" w:fill="E7EAF2"/>
            <w:vAlign w:val="top"/>
          </w:tcPr>
          <w:p>
            <w:r>
              <w:rPr>
                <w:b/>
              </w:rPr>
              <w:t xml:space="preserve">Where to find it</w:t>
            </w:r>
          </w:p>
        </w:tc>
        <w:tc>
          <w:tcPr>
            <w:tcW w:w="2337" w:type="dxa"/>
            <w:shd w:val="clear" w:fill="E7EAF2"/>
            <w:vAlign w:val="top"/>
          </w:tcPr>
          <w:p>
            <w:r>
              <w:rPr>
                <w:b/>
              </w:rPr>
              <w:t xml:space="preserve">Action</w:t>
            </w:r>
          </w:p>
        </w:tc>
      </w:tr>
      <w:tr>
        <w:tc>
          <w:tcPr>
            <w:tcW w:w="2337" w:type="dxa"/>
            <w:vAlign w:val="top"/>
          </w:tcPr>
          <w:p>
            <w:r>
              <w:t xml:space="preserve">Log Analytics workspace (kiosk)</w:t>
            </w:r>
          </w:p>
        </w:tc>
        <w:tc>
          <w:tcPr>
            <w:tcW w:w="2337" w:type="dxa"/>
            <w:vAlign w:val="top"/>
          </w:tcPr>
          <w:p>
            <w:r>
              <w:t xml:space="preserve">Telemetry sink for the credential pipeline</w:t>
            </w:r>
          </w:p>
        </w:tc>
        <w:tc>
          <w:tcPr>
            <w:tcW w:w="2337" w:type="dxa"/>
            <w:vAlign w:val="top"/>
          </w:tcPr>
          <w:p>
            <w:r>
              <w:t xml:space="preserve">Azure Portal &gt; Log Analytics workspaces &gt; the one linked to the kiosk resource group</w:t>
            </w:r>
          </w:p>
        </w:tc>
        <w:tc>
          <w:tcPr>
            <w:tcW w:w="2337" w:type="dxa"/>
            <w:vAlign w:val="top"/>
          </w:tcPr>
          <w:p>
            <w:r>
              <w:rPr>
                <w:b/>
              </w:rPr>
              <w:t xml:space="preserve">Delete.</w:t>
            </w:r>
            <w:r>
              <w:t xml:space="preserve"> Export evidence first. Build a fresh, schema-named workspace for AVD Sentinel/Insights rather than renaming this one</w:t>
            </w:r>
          </w:p>
        </w:tc>
      </w:tr>
      <w:tr>
        <w:tc>
          <w:tcPr>
            <w:tcW w:w="2337" w:type="dxa"/>
            <w:vAlign w:val="top"/>
          </w:tcPr>
          <w:p>
            <w:r>
              <w:t xml:space="preserve">NSG nsg-avd-session-hosts</w:t>
            </w:r>
          </w:p>
        </w:tc>
        <w:tc>
          <w:tcPr>
            <w:tcW w:w="2337" w:type="dxa"/>
            <w:vAlign w:val="top"/>
          </w:tcPr>
          <w:p>
            <w:r>
              <w:t xml:space="preserve">Session host subnet NSG, kiosk ruleset</w:t>
            </w:r>
          </w:p>
        </w:tc>
        <w:tc>
          <w:tcPr>
            <w:tcW w:w="2337" w:type="dxa"/>
            <w:vAlign w:val="top"/>
          </w:tcPr>
          <w:p>
            <w:r>
              <w:t xml:space="preserve">Azure Portal search bar &gt; paste </w:t>
            </w:r>
            <w:r>
              <w:rPr>
                <w:rFonts w:ascii="Consolas" w:hAnsi="Consolas"/>
              </w:rPr>
              <w:t xml:space="preserve">nsg-avd-session-hosts</w:t>
            </w:r>
          </w:p>
        </w:tc>
        <w:tc>
          <w:tcPr>
            <w:tcW w:w="2337" w:type="dxa"/>
            <w:vAlign w:val="top"/>
          </w:tcPr>
          <w:p>
            <w:r>
              <w:rPr>
                <w:b/>
              </w:rPr>
              <w:t xml:space="preserve">Delete.</w:t>
            </w:r>
            <w:r>
              <w:t xml:space="preserve"> Build a fresh NSG with rules written for Standard User AVD SOE's traffic pattern</w:t>
            </w:r>
          </w:p>
        </w:tc>
      </w:tr>
      <w:tr>
        <w:tc>
          <w:tcPr>
            <w:tcW w:w="2337" w:type="dxa"/>
            <w:vAlign w:val="top"/>
          </w:tcPr>
          <w:p>
            <w:r>
              <w:t xml:space="preserve">NSG nsg-avd-pe</w:t>
            </w:r>
          </w:p>
        </w:tc>
        <w:tc>
          <w:tcPr>
            <w:tcW w:w="2337" w:type="dxa"/>
            <w:vAlign w:val="top"/>
          </w:tcPr>
          <w:p>
            <w:r>
              <w:t xml:space="preserve">Private endpoint subnet NSG, kiosk ruleset</w:t>
            </w:r>
          </w:p>
        </w:tc>
        <w:tc>
          <w:tcPr>
            <w:tcW w:w="2337" w:type="dxa"/>
            <w:vAlign w:val="top"/>
          </w:tcPr>
          <w:p>
            <w:r>
              <w:t xml:space="preserve">Azure Portal search bar &gt; paste </w:t>
            </w:r>
            <w:r>
              <w:rPr>
                <w:rFonts w:ascii="Consolas" w:hAnsi="Consolas"/>
              </w:rPr>
              <w:t xml:space="preserve">nsg-avd-pe</w:t>
            </w:r>
          </w:p>
        </w:tc>
        <w:tc>
          <w:tcPr>
            <w:tcW w:w="2337" w:type="dxa"/>
            <w:vAlign w:val="top"/>
          </w:tcPr>
          <w:p>
            <w:r>
              <w:rPr>
                <w:b/>
              </w:rPr>
              <w:t xml:space="preserve">Delete.</w:t>
            </w:r>
            <w:r>
              <w:t xml:space="preserve"> Build fresh</w:t>
            </w:r>
          </w:p>
        </w:tc>
      </w:tr>
      <w:tr>
        <w:tc>
          <w:tcPr>
            <w:tcW w:w="2337" w:type="dxa"/>
            <w:vAlign w:val="top"/>
          </w:tcPr>
          <w:p>
            <w:r>
              <w:t xml:space="preserve">Kiosk-specific route table</w:t>
            </w:r>
          </w:p>
        </w:tc>
        <w:tc>
          <w:tcPr>
            <w:tcW w:w="2337" w:type="dxa"/>
            <w:vAlign w:val="top"/>
          </w:tcPr>
          <w:p>
            <w:r>
              <w:t xml:space="preserve">Forces kiosk subnet traffic through the credential-pipeline path</w:t>
            </w:r>
          </w:p>
        </w:tc>
        <w:tc>
          <w:tcPr>
            <w:tcW w:w="2337" w:type="dxa"/>
            <w:vAlign w:val="top"/>
          </w:tcPr>
          <w:p>
            <w:r>
              <w:t xml:space="preserve">Azure Portal &gt; Route tables &gt; filter "kiosk"</w:t>
            </w:r>
          </w:p>
        </w:tc>
        <w:tc>
          <w:tcPr>
            <w:tcW w:w="2337" w:type="dxa"/>
            <w:vAlign w:val="top"/>
          </w:tcPr>
          <w:p>
            <w:r>
              <w:rPr>
                <w:b/>
              </w:rPr>
              <w:t xml:space="preserve">Delete.</w:t>
            </w:r>
            <w:r>
              <w:t xml:space="preserve"> Build fresh for the new subnet design</w:t>
            </w:r>
          </w:p>
        </w:tc>
      </w:tr>
      <w:tr>
        <w:tc>
          <w:tcPr>
            <w:tcW w:w="2337" w:type="dxa"/>
            <w:vAlign w:val="top"/>
          </w:tcPr>
          <w:p>
            <w:r>
              <w:t xml:space="preserve">NAT gateway, if provisioned</w:t>
            </w:r>
          </w:p>
        </w:tc>
        <w:tc>
          <w:tcPr>
            <w:tcW w:w="2337" w:type="dxa"/>
            <w:vAlign w:val="top"/>
          </w:tcPr>
          <w:p>
            <w:r>
              <w:t xml:space="preserve">Stable egress IP for the credential pipeline</w:t>
            </w:r>
          </w:p>
        </w:tc>
        <w:tc>
          <w:tcPr>
            <w:tcW w:w="2337" w:type="dxa"/>
            <w:vAlign w:val="top"/>
          </w:tcPr>
          <w:p>
            <w:r>
              <w:t xml:space="preserve">Azure Portal &gt; NAT gateways &gt; filter "kiosk"</w:t>
            </w:r>
          </w:p>
        </w:tc>
        <w:tc>
          <w:tcPr>
            <w:tcW w:w="2337" w:type="dxa"/>
            <w:vAlign w:val="top"/>
          </w:tcPr>
          <w:p>
            <w:r>
              <w:t xml:space="preserve">Delete if no AVD spoke wants it. Confirm first</w:t>
            </w:r>
          </w:p>
        </w:tc>
      </w:tr>
    </w:tbl>
    <w:p>
      <w:pPr>
        <w:spacing w:after="160"/>
      </w:pPr>
      <w:r>
        <w:t xml:space="preserve"/>
      </w:r>
    </w:p>
    <w:p>
      <w:pPr>
        <w:spacing w:after="120"/>
      </w:pPr>
      <w:r>
        <w:rPr>
          <w:b/>
        </w:rPr>
        <w:t xml:space="preserve">2c. Network foundation - kept, audited rather than renamed</w:t>
      </w:r>
    </w:p>
    <w:tbl>
      <w:tblPr>
        <w:tblW w:w="9350" w:type="dxa"/>
        <w:tblBorders>
          <w:top w:val="single" w:sz="4" w:space="0" w:color="C9D0E0"/>
          <w:left w:val="single" w:sz="4" w:space="0" w:color="C9D0E0"/>
          <w:bottom w:val="single" w:sz="4" w:space="0" w:color="C9D0E0"/>
          <w:right w:val="single" w:sz="4" w:space="0" w:color="C9D0E0"/>
          <w:insideH w:val="single" w:sz="4" w:space="0" w:color="C9D0E0"/>
          <w:insideV w:val="single" w:sz="4" w:space="0" w:color="C9D0E0"/>
        </w:tblBorders>
        <w:tblLook w:val="04A0"/>
      </w:tblPr>
      <w:tblGrid>
        <w:gridCol w:w="2337"/>
        <w:gridCol w:w="2337"/>
        <w:gridCol w:w="2337"/>
        <w:gridCol w:w="2337"/>
      </w:tblGrid>
      <w:tr>
        <w:tc>
          <w:tcPr>
            <w:tcW w:w="2337" w:type="dxa"/>
            <w:shd w:val="clear" w:fill="E7EAF2"/>
            <w:vAlign w:val="top"/>
          </w:tcPr>
          <w:p>
            <w:r>
              <w:rPr>
                <w:b/>
              </w:rPr>
              <w:t xml:space="preserve">Name</w:t>
            </w:r>
          </w:p>
        </w:tc>
        <w:tc>
          <w:tcPr>
            <w:tcW w:w="2337" w:type="dxa"/>
            <w:shd w:val="clear" w:fill="E7EAF2"/>
            <w:vAlign w:val="top"/>
          </w:tcPr>
          <w:p>
            <w:r>
              <w:rPr>
                <w:b/>
              </w:rPr>
              <w:t xml:space="preserve">What it is</w:t>
            </w:r>
          </w:p>
        </w:tc>
        <w:tc>
          <w:tcPr>
            <w:tcW w:w="2337" w:type="dxa"/>
            <w:shd w:val="clear" w:fill="E7EAF2"/>
            <w:vAlign w:val="top"/>
          </w:tcPr>
          <w:p>
            <w:r>
              <w:rPr>
                <w:b/>
              </w:rPr>
              <w:t xml:space="preserve">Where to find it</w:t>
            </w:r>
          </w:p>
        </w:tc>
        <w:tc>
          <w:tcPr>
            <w:tcW w:w="2337" w:type="dxa"/>
            <w:shd w:val="clear" w:fill="E7EAF2"/>
            <w:vAlign w:val="top"/>
          </w:tcPr>
          <w:p>
            <w:r>
              <w:rPr>
                <w:b/>
              </w:rPr>
              <w:t xml:space="preserve">Action</w:t>
            </w:r>
          </w:p>
        </w:tc>
      </w:tr>
      <w:tr>
        <w:tc>
          <w:tcPr>
            <w:tcW w:w="2337" w:type="dxa"/>
            <w:vAlign w:val="top"/>
          </w:tcPr>
          <w:p>
            <w:r>
              <w:t xml:space="preserve">Hub/spoke VNet and subnet allocation (Australia East)</w:t>
            </w:r>
          </w:p>
        </w:tc>
        <w:tc>
          <w:tcPr>
            <w:tcW w:w="2337" w:type="dxa"/>
            <w:vAlign w:val="top"/>
          </w:tcPr>
          <w:p>
            <w:r>
              <w:t xml:space="preserve">The address block and topology, coordinated via the APM Infrastructure team</w:t>
            </w:r>
          </w:p>
        </w:tc>
        <w:tc>
          <w:tcPr>
            <w:tcW w:w="2337" w:type="dxa"/>
            <w:vAlign w:val="top"/>
          </w:tcPr>
          <w:p>
            <w:r>
              <w:t xml:space="preserve">Azure Portal search bar &gt; paste </w:t>
            </w:r>
            <w:r>
              <w:rPr>
                <w:rFonts w:ascii="Consolas" w:hAnsi="Consolas"/>
              </w:rPr>
              <w:t xml:space="preserve">auea-snet-avd-kiosk-pe-001</w:t>
            </w:r>
            <w:r>
              <w:t xml:space="preserve"> to locate the hub VNet, or Virtual networks blade &gt; filter "kiosk"</w:t>
            </w:r>
          </w:p>
        </w:tc>
        <w:tc>
          <w:tcPr>
            <w:tcW w:w="2337" w:type="dxa"/>
            <w:vAlign w:val="top"/>
          </w:tcPr>
          <w:p>
            <w:r>
              <w:rPr>
                <w:b/>
              </w:rPr>
              <w:t xml:space="preserve">Keep.</w:t>
            </w:r>
            <w:r>
              <w:t xml:space="preserve"> Re-coordinating a new CIDR is slow for no security benefit. Audit every rule and route inside it individually (see §2b for what's actually removed), rename the VNet and subnets to schema</w:t>
            </w:r>
          </w:p>
        </w:tc>
      </w:tr>
    </w:tbl>
    <w:p>
      <w:pPr>
        <w:spacing w:after="160"/>
      </w:pPr>
      <w:r>
        <w:t xml:space="preserve"/>
      </w:r>
    </w:p>
    <w:p>
      <w:pPr>
        <w:spacing w:after="120"/>
      </w:pPr>
      <w:r>
        <w:rPr>
          <w:b/>
        </w:rPr>
        <w:t xml:space="preserve">2d. Private endpoint DNS registrations</w:t>
      </w:r>
    </w:p>
    <w:p>
      <w:pPr>
        <w:spacing w:after="120"/>
      </w:pPr>
      <w:r>
        <w:t xml:space="preserve">The zones </w:t>
      </w:r>
      <w:r>
        <w:rPr>
          <w:rFonts w:ascii="Consolas" w:hAnsi="Consolas"/>
        </w:rPr>
        <w:t xml:space="preserve">privatelink.vaultcore.azure.net</w:t>
      </w:r>
      <w:r>
        <w:t xml:space="preserve">, </w:t>
      </w:r>
      <w:r>
        <w:rPr>
          <w:rFonts w:ascii="Consolas" w:hAnsi="Consolas"/>
        </w:rPr>
        <w:t xml:space="preserve">privatelink.blob.core.windows.net</w:t>
      </w:r>
      <w:r>
        <w:t xml:space="preserve">, </w:t>
      </w:r>
      <w:r>
        <w:rPr>
          <w:rFonts w:ascii="Consolas" w:hAnsi="Consolas"/>
        </w:rPr>
        <w:t xml:space="preserve">privatelink.table.core.windows.net</w:t>
      </w:r>
      <w:r>
        <w:t xml:space="preserve">, </w:t>
      </w:r>
      <w:r>
        <w:rPr>
          <w:rFonts w:ascii="Consolas" w:hAnsi="Consolas"/>
        </w:rPr>
        <w:t xml:space="preserve">privatelink.queue.core.windows.net</w:t>
      </w:r>
      <w:r>
        <w:t xml:space="preserve"> and </w:t>
      </w:r>
      <w:r>
        <w:rPr>
          <w:rFonts w:ascii="Consolas" w:hAnsi="Consolas"/>
        </w:rPr>
        <w:t xml:space="preserve">privatelink.azurewebsites.net</w:t>
      </w:r>
      <w:r>
        <w:t xml:space="preserve"> are </w:t>
      </w:r>
      <w:r>
        <w:rPr>
          <w:b/>
        </w:rPr>
        <w:t xml:space="preserve">shared central zones</w:t>
      </w:r>
      <w:r>
        <w:t xml:space="preserve">, not kiosk-owned - do not delete the zones themselves. Deleting each private endpoint in §2a automatically removes its own DNS registration from the shared zone. No separate action required here.</w:t>
      </w:r>
    </w:p>
    <w:p>
      <w:pPr>
        <w:pStyle w:val="Heading2"/>
      </w:pPr>
      <w:r>
        <w:t xml:space="preserve">3. apmkiosk.net.au domain</w:t>
      </w:r>
    </w:p>
    <w:p>
      <w:pPr>
        <w:spacing w:after="120"/>
      </w:pPr>
      <w:r>
        <w:t xml:space="preserve">Owner: Cyber Security, unless stated otherwise.</w:t>
      </w:r>
    </w:p>
    <w:tbl>
      <w:tblPr>
        <w:tblW w:w="9350" w:type="dxa"/>
        <w:tblBorders>
          <w:top w:val="single" w:sz="4" w:space="0" w:color="C9D0E0"/>
          <w:left w:val="single" w:sz="4" w:space="0" w:color="C9D0E0"/>
          <w:bottom w:val="single" w:sz="4" w:space="0" w:color="C9D0E0"/>
          <w:right w:val="single" w:sz="4" w:space="0" w:color="C9D0E0"/>
          <w:insideH w:val="single" w:sz="4" w:space="0" w:color="C9D0E0"/>
          <w:insideV w:val="single" w:sz="4" w:space="0" w:color="C9D0E0"/>
        </w:tblBorders>
        <w:tblLook w:val="04A0"/>
      </w:tblPr>
      <w:tblGrid>
        <w:gridCol w:w="2337"/>
        <w:gridCol w:w="2337"/>
        <w:gridCol w:w="2337"/>
        <w:gridCol w:w="2337"/>
      </w:tblGrid>
      <w:tr>
        <w:tc>
          <w:tcPr>
            <w:tcW w:w="2337" w:type="dxa"/>
            <w:shd w:val="clear" w:fill="E7EAF2"/>
            <w:vAlign w:val="top"/>
          </w:tcPr>
          <w:p>
            <w:r>
              <w:rPr>
                <w:b/>
              </w:rPr>
              <w:t xml:space="preserve">Name</w:t>
            </w:r>
          </w:p>
        </w:tc>
        <w:tc>
          <w:tcPr>
            <w:tcW w:w="2337" w:type="dxa"/>
            <w:shd w:val="clear" w:fill="E7EAF2"/>
            <w:vAlign w:val="top"/>
          </w:tcPr>
          <w:p>
            <w:r>
              <w:rPr>
                <w:b/>
              </w:rPr>
              <w:t xml:space="preserve">What it is</w:t>
            </w:r>
          </w:p>
        </w:tc>
        <w:tc>
          <w:tcPr>
            <w:tcW w:w="2337" w:type="dxa"/>
            <w:shd w:val="clear" w:fill="E7EAF2"/>
            <w:vAlign w:val="top"/>
          </w:tcPr>
          <w:p>
            <w:r>
              <w:rPr>
                <w:b/>
              </w:rPr>
              <w:t xml:space="preserve">Where to find it</w:t>
            </w:r>
          </w:p>
        </w:tc>
        <w:tc>
          <w:tcPr>
            <w:tcW w:w="2337" w:type="dxa"/>
            <w:shd w:val="clear" w:fill="E7EAF2"/>
            <w:vAlign w:val="top"/>
          </w:tcPr>
          <w:p>
            <w:r>
              <w:rPr>
                <w:b/>
              </w:rPr>
              <w:t xml:space="preserve">Action</w:t>
            </w:r>
          </w:p>
        </w:tc>
      </w:tr>
      <w:tr>
        <w:tc>
          <w:tcPr>
            <w:tcW w:w="2337" w:type="dxa"/>
            <w:vAlign w:val="top"/>
          </w:tcPr>
          <w:p>
            <w:r>
              <w:t xml:space="preserve">apmkiosk.net.au enrolment/registration DNS records, tenant verification TXT</w:t>
            </w:r>
          </w:p>
        </w:tc>
        <w:tc>
          <w:tcPr>
            <w:tcW w:w="2337" w:type="dxa"/>
            <w:vAlign w:val="top"/>
          </w:tcPr>
          <w:p>
            <w:r>
              <w:t xml:space="preserve">Domain-verification DNS records</w:t>
            </w:r>
          </w:p>
        </w:tc>
        <w:tc>
          <w:tcPr>
            <w:tcW w:w="2337" w:type="dxa"/>
            <w:vAlign w:val="top"/>
          </w:tcPr>
          <w:p>
            <w:r>
              <w:t xml:space="preserve">External DNS host for the apmkiosk.net.au zone</w:t>
            </w:r>
          </w:p>
        </w:tc>
        <w:tc>
          <w:tcPr>
            <w:tcW w:w="2337" w:type="dxa"/>
            <w:vAlign w:val="top"/>
          </w:tcPr>
          <w:p>
            <w:r>
              <w:t xml:space="preserve">Delete once every account using the domain is deleted</w:t>
            </w:r>
          </w:p>
        </w:tc>
      </w:tr>
      <w:tr>
        <w:tc>
          <w:tcPr>
            <w:tcW w:w="2337" w:type="dxa"/>
            <w:vAlign w:val="top"/>
          </w:tcPr>
          <w:p>
            <w:r>
              <w:t xml:space="preserve">apmkiosk.net.au managed domain</w:t>
            </w:r>
          </w:p>
        </w:tc>
        <w:tc>
          <w:tcPr>
            <w:tcW w:w="2337" w:type="dxa"/>
            <w:vAlign w:val="top"/>
          </w:tcPr>
          <w:p>
            <w:r>
              <w:t xml:space="preserve">Custom domain object in the tenant</w:t>
            </w:r>
          </w:p>
        </w:tc>
        <w:tc>
          <w:tcPr>
            <w:tcW w:w="2337" w:type="dxa"/>
            <w:vAlign w:val="top"/>
          </w:tcPr>
          <w:p>
            <w:r>
              <w:t xml:space="preserve">Entra admin center &gt; Identity &gt; Settings &gt; Domain names</w:t>
            </w:r>
          </w:p>
        </w:tc>
        <w:tc>
          <w:tcPr>
            <w:tcW w:w="2337" w:type="dxa"/>
            <w:vAlign w:val="top"/>
          </w:tcPr>
          <w:p>
            <w:r>
              <w:t xml:space="preserve">Remove from tenant, only after every account and object referencing it is gone. Owner: Identity and Endpoint</w:t>
            </w:r>
          </w:p>
        </w:tc>
      </w:tr>
      <w:tr>
        <w:tc>
          <w:tcPr>
            <w:tcW w:w="2337" w:type="dxa"/>
            <w:vAlign w:val="top"/>
          </w:tcPr>
          <w:p>
            <w:r>
              <w:t xml:space="preserve">apmkiosk.net.au registrar record, lock, null MX, SPF -all, DMARC p=reject</w:t>
            </w:r>
          </w:p>
        </w:tc>
        <w:tc>
          <w:tcPr>
            <w:tcW w:w="2337" w:type="dxa"/>
            <w:vAlign w:val="top"/>
          </w:tcPr>
          <w:p>
            <w:r>
              <w:t xml:space="preserve">The domain registration itself</w:t>
            </w:r>
          </w:p>
        </w:tc>
        <w:tc>
          <w:tcPr>
            <w:tcW w:w="2337" w:type="dxa"/>
            <w:vAlign w:val="top"/>
          </w:tcPr>
          <w:p>
            <w:r>
              <w:t xml:space="preserve">Domain registrar portal</w:t>
            </w:r>
          </w:p>
        </w:tc>
        <w:tc>
          <w:tcPr>
            <w:tcW w:w="2337" w:type="dxa"/>
            <w:vAlign w:val="top"/>
          </w:tcPr>
          <w:p>
            <w:r>
              <w:rPr>
                <w:b/>
              </w:rPr>
              <w:t xml:space="preserve">Retain 12 months minimum.</w:t>
            </w:r>
            <w:r>
              <w:t xml:space="preserve"> Do not release for tidiness</w:t>
            </w:r>
          </w:p>
        </w:tc>
      </w:tr>
      <w:tr>
        <w:tc>
          <w:tcPr>
            <w:tcW w:w="2337" w:type="dxa"/>
            <w:vAlign w:val="top"/>
          </w:tcPr>
          <w:p>
            <w:r>
              <w:t xml:space="preserve">Meraki firewall rule: Key Vault/Credential Proxy egress</w:t>
            </w:r>
          </w:p>
        </w:tc>
        <w:tc>
          <w:tcPr>
            <w:tcW w:w="2337" w:type="dxa"/>
            <w:vAlign w:val="top"/>
          </w:tcPr>
          <w:p>
            <w:r>
              <w:t xml:space="preserve">Permits the pipeline's outbound traffic</w:t>
            </w:r>
          </w:p>
        </w:tc>
        <w:tc>
          <w:tcPr>
            <w:tcW w:w="2337" w:type="dxa"/>
            <w:vAlign w:val="top"/>
          </w:tcPr>
          <w:p>
            <w:r>
              <w:t xml:space="preserve">Meraki dashboard &gt; Security &amp; SD-WAN &gt; firewall rules &gt; filter "kiosk"</w:t>
            </w:r>
          </w:p>
        </w:tc>
        <w:tc>
          <w:tcPr>
            <w:tcW w:w="2337" w:type="dxa"/>
            <w:vAlign w:val="top"/>
          </w:tcPr>
          <w:p>
            <w:r>
              <w:t xml:space="preserve">Delete. Owner: Network team</w:t>
            </w:r>
          </w:p>
        </w:tc>
      </w:tr>
      <w:tr>
        <w:tc>
          <w:tcPr>
            <w:tcW w:w="2337" w:type="dxa"/>
            <w:vAlign w:val="top"/>
          </w:tcPr>
          <w:p>
            <w:r>
              <w:t xml:space="preserve">Palo Alto security policy rule: Key Vault/Credential Proxy egress</w:t>
            </w:r>
          </w:p>
        </w:tc>
        <w:tc>
          <w:tcPr>
            <w:tcW w:w="2337" w:type="dxa"/>
            <w:vAlign w:val="top"/>
          </w:tcPr>
          <w:p>
            <w:r>
              <w:t xml:space="preserve">Permits the pipeline's outbound traffic</w:t>
            </w:r>
          </w:p>
        </w:tc>
        <w:tc>
          <w:tcPr>
            <w:tcW w:w="2337" w:type="dxa"/>
            <w:vAlign w:val="top"/>
          </w:tcPr>
          <w:p>
            <w:r>
              <w:t xml:space="preserve">Panorama &gt; security policy rules &gt; filter "kiosk"</w:t>
            </w:r>
          </w:p>
        </w:tc>
        <w:tc>
          <w:tcPr>
            <w:tcW w:w="2337" w:type="dxa"/>
            <w:vAlign w:val="top"/>
          </w:tcPr>
          <w:p>
            <w:r>
              <w:t xml:space="preserve">Delete. Owner: Network team</w:t>
            </w:r>
          </w:p>
        </w:tc>
      </w:tr>
      <w:tr>
        <w:tc>
          <w:tcPr>
            <w:tcW w:w="2337" w:type="dxa"/>
            <w:vAlign w:val="top"/>
          </w:tcPr>
          <w:p>
            <w:r>
              <w:t xml:space="preserve">Zscaler enterprise application</w:t>
            </w:r>
          </w:p>
        </w:tc>
        <w:tc>
          <w:tcPr>
            <w:tcW w:w="2337" w:type="dxa"/>
            <w:vAlign w:val="top"/>
          </w:tcPr>
          <w:p>
            <w:r>
              <w:t xml:space="preserve">Kiosk identity object in Entra for Zscaler SSO</w:t>
            </w:r>
          </w:p>
        </w:tc>
        <w:tc>
          <w:tcPr>
            <w:tcW w:w="2337" w:type="dxa"/>
            <w:vAlign w:val="top"/>
          </w:tcPr>
          <w:p>
            <w:r>
              <w:t xml:space="preserve">Entra admin center &gt; Enterprise applications &gt; filter "kiosk"</w:t>
            </w:r>
          </w:p>
        </w:tc>
        <w:tc>
          <w:tcPr>
            <w:tcW w:w="2337" w:type="dxa"/>
            <w:vAlign w:val="top"/>
          </w:tcPr>
          <w:p>
            <w:r>
              <w:t xml:space="preserve">Review, then delete. Owner: Stratus with Cyber Security</w:t>
            </w:r>
          </w:p>
        </w:tc>
      </w:tr>
      <w:tr>
        <w:tc>
          <w:tcPr>
            <w:tcW w:w="2337" w:type="dxa"/>
            <w:vAlign w:val="top"/>
          </w:tcPr>
          <w:p>
            <w:r>
              <w:t xml:space="preserve">Zscaler SCIM provisioning job</w:t>
            </w:r>
          </w:p>
        </w:tc>
        <w:tc>
          <w:tcPr>
            <w:tcW w:w="2337" w:type="dxa"/>
            <w:vAlign w:val="top"/>
          </w:tcPr>
          <w:p>
            <w:r>
              <w:t xml:space="preserve">Syncs kiosk identity to Zscaler</w:t>
            </w:r>
          </w:p>
        </w:tc>
        <w:tc>
          <w:tcPr>
            <w:tcW w:w="2337" w:type="dxa"/>
            <w:vAlign w:val="top"/>
          </w:tcPr>
          <w:p>
            <w:r>
              <w:t xml:space="preserve">Entra admin center &gt; Enterprise applications &gt; the app above &gt; Provisioning</w:t>
            </w:r>
          </w:p>
        </w:tc>
        <w:tc>
          <w:tcPr>
            <w:tcW w:w="2337" w:type="dxa"/>
            <w:vAlign w:val="top"/>
          </w:tcPr>
          <w:p>
            <w:r>
              <w:t xml:space="preserve">Review, then delete</w:t>
            </w:r>
          </w:p>
        </w:tc>
      </w:tr>
      <w:tr>
        <w:tc>
          <w:tcPr>
            <w:tcW w:w="2337" w:type="dxa"/>
            <w:vAlign w:val="top"/>
          </w:tcPr>
          <w:p>
            <w:r>
              <w:t xml:space="preserve">apm-js-kiosk-users-internet group</w:t>
            </w:r>
          </w:p>
        </w:tc>
        <w:tc>
          <w:tcPr>
            <w:tcW w:w="2337" w:type="dxa"/>
            <w:vAlign w:val="top"/>
          </w:tcPr>
          <w:p>
            <w:r>
              <w:t xml:space="preserve">Group Zscaler policy targets</w:t>
            </w:r>
          </w:p>
        </w:tc>
        <w:tc>
          <w:tcPr>
            <w:tcW w:w="2337" w:type="dxa"/>
            <w:vAlign w:val="top"/>
          </w:tcPr>
          <w:p>
            <w:r>
              <w:t xml:space="preserve">Entra admin center &gt; Groups &gt; search "apm-js-kiosk-users-internet"</w:t>
            </w:r>
          </w:p>
        </w:tc>
        <w:tc>
          <w:tcPr>
            <w:tcW w:w="2337" w:type="dxa"/>
            <w:vAlign w:val="top"/>
          </w:tcPr>
          <w:p>
            <w:r>
              <w:t xml:space="preserve">Review, then delete</w:t>
            </w:r>
          </w:p>
        </w:tc>
      </w:tr>
      <w:tr>
        <w:tc>
          <w:tcPr>
            <w:tcW w:w="2337" w:type="dxa"/>
            <w:vAlign w:val="top"/>
          </w:tcPr>
          <w:p>
            <w:r>
              <w:t xml:space="preserve">Zscaler identity provider configuration</w:t>
            </w:r>
          </w:p>
        </w:tc>
        <w:tc>
          <w:tcPr>
            <w:tcW w:w="2337" w:type="dxa"/>
            <w:vAlign w:val="top"/>
          </w:tcPr>
          <w:p>
            <w:r>
              <w:t xml:space="preserve">IdP config referencing the kiosk identity model</w:t>
            </w:r>
          </w:p>
        </w:tc>
        <w:tc>
          <w:tcPr>
            <w:tcW w:w="2337" w:type="dxa"/>
            <w:vAlign w:val="top"/>
          </w:tcPr>
          <w:p>
            <w:r>
              <w:t xml:space="preserve">Zscaler admin portal &gt; Administration &gt; IdP Configuration</w:t>
            </w:r>
          </w:p>
        </w:tc>
        <w:tc>
          <w:tcPr>
            <w:tcW w:w="2337" w:type="dxa"/>
            <w:vAlign w:val="top"/>
          </w:tcPr>
          <w:p>
            <w:r>
              <w:t xml:space="preserve">Review, then delete</w:t>
            </w:r>
          </w:p>
        </w:tc>
      </w:tr>
    </w:tbl>
    <w:p>
      <w:pPr>
        <w:spacing w:after="160"/>
      </w:pPr>
      <w:r>
        <w:t xml:space="preserve"/>
      </w:r>
    </w:p>
    <w:p>
      <w:pPr>
        <w:spacing w:after="120"/>
      </w:pPr>
      <w:r>
        <w:t xml:space="preserve">Do not delete the four Zscaler rows before the Zscaler provisioning workshop (DR-013, Participant Kiosk design) concludes - the replacement forwarding model determines which are still required.</w:t>
      </w:r>
    </w:p>
    <w:p>
      <w:pPr>
        <w:pStyle w:val="Heading2"/>
      </w:pPr>
      <w:r>
        <w:t xml:space="preserve">4. AVD test environment (FVE)</w:t>
      </w:r>
    </w:p>
    <w:p>
      <w:pPr>
        <w:spacing w:after="120"/>
      </w:pPr>
      <w:r>
        <w:t xml:space="preserve">Found in APM-AVD Test Network Detail Design V0.2. Its own document sets a 60-day default lifespan and a build-readiness trigger. </w:t>
      </w:r>
      <w:r>
        <w:rPr>
          <w:b/>
        </w:rPr>
        <w:t xml:space="preserve">Confirm by resource query whether it was already decommissioned</w:t>
      </w:r>
      <w:r>
        <w:t xml:space="preserve"> before assuming any row below still applies. Owner: Cloud and Azure, unless stated otherwise.</w:t>
      </w:r>
    </w:p>
    <w:tbl>
      <w:tblPr>
        <w:tblW w:w="9350" w:type="dxa"/>
        <w:tblBorders>
          <w:top w:val="single" w:sz="4" w:space="0" w:color="C9D0E0"/>
          <w:left w:val="single" w:sz="4" w:space="0" w:color="C9D0E0"/>
          <w:bottom w:val="single" w:sz="4" w:space="0" w:color="C9D0E0"/>
          <w:right w:val="single" w:sz="4" w:space="0" w:color="C9D0E0"/>
          <w:insideH w:val="single" w:sz="4" w:space="0" w:color="C9D0E0"/>
          <w:insideV w:val="single" w:sz="4" w:space="0" w:color="C9D0E0"/>
        </w:tblBorders>
        <w:tblLook w:val="04A0"/>
      </w:tblPr>
      <w:tblGrid>
        <w:gridCol w:w="2337"/>
        <w:gridCol w:w="2337"/>
        <w:gridCol w:w="2337"/>
        <w:gridCol w:w="2337"/>
      </w:tblGrid>
      <w:tr>
        <w:tc>
          <w:tcPr>
            <w:tcW w:w="2337" w:type="dxa"/>
            <w:shd w:val="clear" w:fill="E7EAF2"/>
            <w:vAlign w:val="top"/>
          </w:tcPr>
          <w:p>
            <w:r>
              <w:rPr>
                <w:b/>
              </w:rPr>
              <w:t xml:space="preserve">Name</w:t>
            </w:r>
          </w:p>
        </w:tc>
        <w:tc>
          <w:tcPr>
            <w:tcW w:w="2337" w:type="dxa"/>
            <w:shd w:val="clear" w:fill="E7EAF2"/>
            <w:vAlign w:val="top"/>
          </w:tcPr>
          <w:p>
            <w:r>
              <w:rPr>
                <w:b/>
              </w:rPr>
              <w:t xml:space="preserve">What it is</w:t>
            </w:r>
          </w:p>
        </w:tc>
        <w:tc>
          <w:tcPr>
            <w:tcW w:w="2337" w:type="dxa"/>
            <w:shd w:val="clear" w:fill="E7EAF2"/>
            <w:vAlign w:val="top"/>
          </w:tcPr>
          <w:p>
            <w:r>
              <w:rPr>
                <w:b/>
              </w:rPr>
              <w:t xml:space="preserve">Where to find it</w:t>
            </w:r>
          </w:p>
        </w:tc>
        <w:tc>
          <w:tcPr>
            <w:tcW w:w="2337" w:type="dxa"/>
            <w:shd w:val="clear" w:fill="E7EAF2"/>
            <w:vAlign w:val="top"/>
          </w:tcPr>
          <w:p>
            <w:r>
              <w:rPr>
                <w:b/>
              </w:rPr>
              <w:t xml:space="preserve">Action</w:t>
            </w:r>
          </w:p>
        </w:tc>
      </w:tr>
      <w:tr>
        <w:tc>
          <w:tcPr>
            <w:tcW w:w="2337" w:type="dxa"/>
            <w:vAlign w:val="top"/>
          </w:tcPr>
          <w:p>
            <w:r>
              <w:t xml:space="preserve">Resource group auea-rg-avd-test-fve-001</w:t>
            </w:r>
          </w:p>
        </w:tc>
        <w:tc>
          <w:tcPr>
            <w:tcW w:w="2337" w:type="dxa"/>
            <w:vAlign w:val="top"/>
          </w:tcPr>
          <w:p>
            <w:r>
              <w:t xml:space="preserve">Contains the whole FVE build: VNet, subnets, session host VMs</w:t>
            </w:r>
          </w:p>
        </w:tc>
        <w:tc>
          <w:tcPr>
            <w:tcW w:w="2337" w:type="dxa"/>
            <w:vAlign w:val="top"/>
          </w:tcPr>
          <w:p>
            <w:r>
              <w:t xml:space="preserve">Azure Portal search bar &gt; paste </w:t>
            </w:r>
            <w:r>
              <w:rPr>
                <w:rFonts w:ascii="Consolas" w:hAnsi="Consolas"/>
              </w:rPr>
              <w:t xml:space="preserve">auea-rg-avd-test-fve-001</w:t>
            </w:r>
          </w:p>
        </w:tc>
        <w:tc>
          <w:tcPr>
            <w:tcW w:w="2337" w:type="dxa"/>
            <w:vAlign w:val="top"/>
          </w:tcPr>
          <w:p>
            <w:r>
              <w:t xml:space="preserve">Delete. Removes the VNet, subnets and </w:t>
            </w:r>
            <w:r>
              <w:rPr>
                <w:rFonts w:ascii="Consolas" w:hAnsi="Consolas"/>
              </w:rPr>
              <w:t xml:space="preserve">vm-fvehost-*</w:t>
            </w:r>
            <w:r>
              <w:t xml:space="preserve"> VMs in one action</w:t>
            </w:r>
          </w:p>
        </w:tc>
      </w:tr>
      <w:tr>
        <w:tc>
          <w:tcPr>
            <w:tcW w:w="2337" w:type="dxa"/>
            <w:vAlign w:val="top"/>
          </w:tcPr>
          <w:p>
            <w:r>
              <w:t xml:space="preserve">Host pool HP-APM-Kiosk-FVE</w:t>
            </w:r>
          </w:p>
        </w:tc>
        <w:tc>
          <w:tcPr>
            <w:tcW w:w="2337" w:type="dxa"/>
            <w:vAlign w:val="top"/>
          </w:tcPr>
          <w:p>
            <w:r>
              <w:t xml:space="preserve">AVD test host pool</w:t>
            </w:r>
          </w:p>
        </w:tc>
        <w:tc>
          <w:tcPr>
            <w:tcW w:w="2337" w:type="dxa"/>
            <w:vAlign w:val="top"/>
          </w:tcPr>
          <w:p>
            <w:r>
              <w:t xml:space="preserve">Nerdio Manager, or Azure Portal &gt; Azure Virtual Desktop &gt; Host pools</w:t>
            </w:r>
          </w:p>
        </w:tc>
        <w:tc>
          <w:tcPr>
            <w:tcW w:w="2337" w:type="dxa"/>
            <w:vAlign w:val="top"/>
          </w:tcPr>
          <w:p>
            <w:r>
              <w:t xml:space="preserve">Remove from Nerdio first, then Azure. Owner: AVD Engineer</w:t>
            </w:r>
          </w:p>
        </w:tc>
      </w:tr>
      <w:tr>
        <w:tc>
          <w:tcPr>
            <w:tcW w:w="2337" w:type="dxa"/>
            <w:vAlign w:val="top"/>
          </w:tcPr>
          <w:p>
            <w:r>
              <w:t xml:space="preserve">Workspace WS-APM-Kiosk-FVE</w:t>
            </w:r>
          </w:p>
        </w:tc>
        <w:tc>
          <w:tcPr>
            <w:tcW w:w="2337" w:type="dxa"/>
            <w:vAlign w:val="top"/>
          </w:tcPr>
          <w:p>
            <w:r>
              <w:t xml:space="preserve">AVD test workspace</w:t>
            </w:r>
          </w:p>
        </w:tc>
        <w:tc>
          <w:tcPr>
            <w:tcW w:w="2337" w:type="dxa"/>
            <w:vAlign w:val="top"/>
          </w:tcPr>
          <w:p>
            <w:r>
              <w:t xml:space="preserve">Azure Portal &gt; Azure Virtual Desktop &gt; Workspaces</w:t>
            </w:r>
          </w:p>
        </w:tc>
        <w:tc>
          <w:tcPr>
            <w:tcW w:w="2337" w:type="dxa"/>
            <w:vAlign w:val="top"/>
          </w:tcPr>
          <w:p>
            <w:r>
              <w:t xml:space="preserve">Delete. Owner: AVD Engineer</w:t>
            </w:r>
          </w:p>
        </w:tc>
      </w:tr>
      <w:tr>
        <w:tc>
          <w:tcPr>
            <w:tcW w:w="2337" w:type="dxa"/>
            <w:vAlign w:val="top"/>
          </w:tcPr>
          <w:p>
            <w:r>
              <w:t xml:space="preserve">Application group AG-APM-Kiosk-FVE-Desktop</w:t>
            </w:r>
          </w:p>
        </w:tc>
        <w:tc>
          <w:tcPr>
            <w:tcW w:w="2337" w:type="dxa"/>
            <w:vAlign w:val="top"/>
          </w:tcPr>
          <w:p>
            <w:r>
              <w:t xml:space="preserve">AVD test desktop app group</w:t>
            </w:r>
          </w:p>
        </w:tc>
        <w:tc>
          <w:tcPr>
            <w:tcW w:w="2337" w:type="dxa"/>
            <w:vAlign w:val="top"/>
          </w:tcPr>
          <w:p>
            <w:r>
              <w:t xml:space="preserve">Azure Portal &gt; Azure Virtual Desktop &gt; Application groups</w:t>
            </w:r>
          </w:p>
        </w:tc>
        <w:tc>
          <w:tcPr>
            <w:tcW w:w="2337" w:type="dxa"/>
            <w:vAlign w:val="top"/>
          </w:tcPr>
          <w:p>
            <w:r>
              <w:t xml:space="preserve">Delete. Owner: AVD Engineer</w:t>
            </w:r>
          </w:p>
        </w:tc>
      </w:tr>
      <w:tr>
        <w:tc>
          <w:tcPr>
            <w:tcW w:w="2337" w:type="dxa"/>
            <w:vAlign w:val="top"/>
          </w:tcPr>
          <w:p>
            <w:r>
              <w:t xml:space="preserve">SG-APM-Kiosk-FVE-Testers</w:t>
            </w:r>
          </w:p>
        </w:tc>
        <w:tc>
          <w:tcPr>
            <w:tcW w:w="2337" w:type="dxa"/>
            <w:vAlign w:val="top"/>
          </w:tcPr>
          <w:p>
            <w:r>
              <w:t xml:space="preserve">Tester security group</w:t>
            </w:r>
          </w:p>
        </w:tc>
        <w:tc>
          <w:tcPr>
            <w:tcW w:w="2337" w:type="dxa"/>
            <w:vAlign w:val="top"/>
          </w:tcPr>
          <w:p>
            <w:r>
              <w:t xml:space="preserve">Entra admin center &gt; Groups &gt; search "SG-APM-Kiosk-FVE-Testers"</w:t>
            </w:r>
          </w:p>
        </w:tc>
        <w:tc>
          <w:tcPr>
            <w:tcW w:w="2337" w:type="dxa"/>
            <w:vAlign w:val="top"/>
          </w:tcPr>
          <w:p>
            <w:r>
              <w:t xml:space="preserve">Delete after the CA policy and test accounts below</w:t>
            </w:r>
          </w:p>
        </w:tc>
      </w:tr>
      <w:tr>
        <w:tc>
          <w:tcPr>
            <w:tcW w:w="2337" w:type="dxa"/>
            <w:vAlign w:val="top"/>
          </w:tcPr>
          <w:p>
            <w:r>
              <w:t xml:space="preserve">SG-APM-Kiosk-FVE-SessionHosts</w:t>
            </w:r>
          </w:p>
        </w:tc>
        <w:tc>
          <w:tcPr>
            <w:tcW w:w="2337" w:type="dxa"/>
            <w:vAlign w:val="top"/>
          </w:tcPr>
          <w:p>
            <w:r>
              <w:t xml:space="preserve">Session-host security group</w:t>
            </w:r>
          </w:p>
        </w:tc>
        <w:tc>
          <w:tcPr>
            <w:tcW w:w="2337" w:type="dxa"/>
            <w:vAlign w:val="top"/>
          </w:tcPr>
          <w:p>
            <w:r>
              <w:t xml:space="preserve">Entra admin center &gt; Groups &gt; search "SG-APM-Kiosk-FVE-SessionHosts"</w:t>
            </w:r>
          </w:p>
        </w:tc>
        <w:tc>
          <w:tcPr>
            <w:tcW w:w="2337" w:type="dxa"/>
            <w:vAlign w:val="top"/>
          </w:tcPr>
          <w:p>
            <w:r>
              <w:t xml:space="preserve">Delete after the compliance policy and Intune profile assignments below</w:t>
            </w:r>
          </w:p>
        </w:tc>
      </w:tr>
      <w:tr>
        <w:tc>
          <w:tcPr>
            <w:tcW w:w="2337" w:type="dxa"/>
            <w:vAlign w:val="top"/>
          </w:tcPr>
          <w:p>
            <w:r>
              <w:t xml:space="preserve">CA-APM-Kiosk-FVE-Testers</w:t>
            </w:r>
          </w:p>
        </w:tc>
        <w:tc>
          <w:tcPr>
            <w:tcW w:w="2337" w:type="dxa"/>
            <w:vAlign w:val="top"/>
          </w:tcPr>
          <w:p>
            <w:r>
              <w:t xml:space="preserve">Test Conditional Access policy</w:t>
            </w:r>
          </w:p>
        </w:tc>
        <w:tc>
          <w:tcPr>
            <w:tcW w:w="2337" w:type="dxa"/>
            <w:vAlign w:val="top"/>
          </w:tcPr>
          <w:p>
            <w:r>
              <w:t xml:space="preserve">Entra admin center &gt; Protection &gt; Conditional Access &gt; search "FVE"</w:t>
            </w:r>
          </w:p>
        </w:tc>
        <w:tc>
          <w:tcPr>
            <w:tcW w:w="2337" w:type="dxa"/>
            <w:vAlign w:val="top"/>
          </w:tcPr>
          <w:p>
            <w:r>
              <w:t xml:space="preserve">Delete outright</w:t>
            </w:r>
          </w:p>
        </w:tc>
      </w:tr>
      <w:tr>
        <w:tc>
          <w:tcPr>
            <w:tcW w:w="2337" w:type="dxa"/>
            <w:vAlign w:val="top"/>
          </w:tcPr>
          <w:p>
            <w:r>
              <w:t xml:space="preserve">Test accounts fve-test{n}@apm.net.au</w:t>
            </w:r>
          </w:p>
        </w:tc>
        <w:tc>
          <w:tcPr>
            <w:tcW w:w="2337" w:type="dxa"/>
            <w:vAlign w:val="top"/>
          </w:tcPr>
          <w:p>
            <w:r>
              <w:t xml:space="preserve">Real accounts in the main tenant</w:t>
            </w:r>
          </w:p>
        </w:tc>
        <w:tc>
          <w:tcPr>
            <w:tcW w:w="2337" w:type="dxa"/>
            <w:vAlign w:val="top"/>
          </w:tcPr>
          <w:p>
            <w:r>
              <w:t xml:space="preserve">Entra admin center &gt; Users &gt; filter "fve-test"</w:t>
            </w:r>
          </w:p>
        </w:tc>
        <w:tc>
          <w:tcPr>
            <w:tcW w:w="2337" w:type="dxa"/>
            <w:vAlign w:val="top"/>
          </w:tcPr>
          <w:p>
            <w:r>
              <w:t xml:space="preserve">Disable, hold 30 days, delete</w:t>
            </w:r>
          </w:p>
        </w:tc>
      </w:tr>
      <w:tr>
        <w:tc>
          <w:tcPr>
            <w:tcW w:w="2337" w:type="dxa"/>
            <w:vAlign w:val="top"/>
          </w:tcPr>
          <w:p>
            <w:r>
              <w:t xml:space="preserve">CMP-APM-AVD-SessionHosts</w:t>
            </w:r>
          </w:p>
        </w:tc>
        <w:tc>
          <w:tcPr>
            <w:tcW w:w="2337" w:type="dxa"/>
            <w:vAlign w:val="top"/>
          </w:tcPr>
          <w:p>
            <w:r>
              <w:t xml:space="preserve">Compliance policy, currently scoped to FVE hosts</w:t>
            </w:r>
          </w:p>
        </w:tc>
        <w:tc>
          <w:tcPr>
            <w:tcW w:w="2337" w:type="dxa"/>
            <w:vAlign w:val="top"/>
          </w:tcPr>
          <w:p>
            <w:r>
              <w:t xml:space="preserve">Intune admin center &gt; Devices &gt; Compliance policies &gt; search "APM-AVD-SessionHosts"</w:t>
            </w:r>
          </w:p>
        </w:tc>
        <w:tc>
          <w:tcPr>
            <w:tcW w:w="2337" w:type="dxa"/>
            <w:vAlign w:val="top"/>
          </w:tcPr>
          <w:p>
            <w:r>
              <w:t xml:space="preserve">Confirm not reused by a live AVD SOE test. If unused, delete. If reused, remove only the SG-APM-Kiosk-FVE-SessionHosts assignment</w:t>
            </w:r>
          </w:p>
        </w:tc>
      </w:tr>
    </w:tbl>
    <w:p>
      <w:pPr>
        <w:spacing w:after="160"/>
      </w:pPr>
      <w:r>
        <w:t xml:space="preserve"/>
      </w:r>
    </w:p>
    <w:p>
      <w:pPr>
        <w:spacing w:after="120"/>
      </w:pPr>
      <w:r>
        <w:rPr>
          <w:b/>
        </w:rPr>
        <w:t xml:space="preserve">FVE-scoped Intune profiles - remove the FVE assignment only, do not delete the profiles (they belong to the production Job Seeker design):</w:t>
      </w:r>
    </w:p>
    <w:tbl>
      <w:tblPr>
        <w:tblW w:w="9350" w:type="dxa"/>
        <w:tblBorders>
          <w:top w:val="single" w:sz="4" w:space="0" w:color="C9D0E0"/>
          <w:left w:val="single" w:sz="4" w:space="0" w:color="C9D0E0"/>
          <w:bottom w:val="single" w:sz="4" w:space="0" w:color="C9D0E0"/>
          <w:right w:val="single" w:sz="4" w:space="0" w:color="C9D0E0"/>
          <w:insideH w:val="single" w:sz="4" w:space="0" w:color="C9D0E0"/>
          <w:insideV w:val="single" w:sz="4" w:space="0" w:color="C9D0E0"/>
        </w:tblBorders>
        <w:tblLook w:val="04A0"/>
      </w:tblPr>
      <w:tblGrid>
        <w:gridCol w:w="2337"/>
        <w:gridCol w:w="2337"/>
        <w:gridCol w:w="2337"/>
        <w:gridCol w:w="2337"/>
      </w:tblGrid>
      <w:tr>
        <w:tc>
          <w:tcPr>
            <w:tcW w:w="2337" w:type="dxa"/>
            <w:shd w:val="clear" w:fill="E7EAF2"/>
            <w:vAlign w:val="top"/>
          </w:tcPr>
          <w:p>
            <w:r>
              <w:rPr>
                <w:b/>
              </w:rPr>
              <w:t xml:space="preserve">#</w:t>
            </w:r>
          </w:p>
        </w:tc>
        <w:tc>
          <w:tcPr>
            <w:tcW w:w="2337" w:type="dxa"/>
            <w:shd w:val="clear" w:fill="E7EAF2"/>
            <w:vAlign w:val="top"/>
          </w:tcPr>
          <w:p>
            <w:r>
              <w:rPr>
                <w:b/>
              </w:rPr>
              <w:t xml:space="preserve">Profile name</w:t>
            </w:r>
          </w:p>
        </w:tc>
        <w:tc>
          <w:tcPr>
            <w:tcW w:w="2337" w:type="dxa"/>
            <w:shd w:val="clear" w:fill="E7EAF2"/>
            <w:vAlign w:val="top"/>
          </w:tcPr>
          <w:p>
            <w:r>
              <w:rPr>
                <w:b/>
              </w:rPr>
              <w:t xml:space="preserve">Where to find it</w:t>
            </w:r>
          </w:p>
        </w:tc>
        <w:tc>
          <w:tcPr>
            <w:tcW w:w="2337" w:type="dxa"/>
            <w:shd w:val="clear" w:fill="E7EAF2"/>
            <w:vAlign w:val="top"/>
          </w:tcPr>
          <w:p>
            <w:r>
              <w:rPr>
                <w:b/>
              </w:rPr>
              <w:t xml:space="preserve">Action</w:t>
            </w:r>
          </w:p>
        </w:tc>
      </w:tr>
      <w:tr>
        <w:tc>
          <w:tcPr>
            <w:tcW w:w="2337" w:type="dxa"/>
            <w:vAlign w:val="top"/>
          </w:tcPr>
          <w:p>
            <w:r>
              <w:t xml:space="preserve">1</w:t>
            </w:r>
          </w:p>
        </w:tc>
        <w:tc>
          <w:tcPr>
            <w:tcW w:w="2337" w:type="dxa"/>
            <w:vAlign w:val="top"/>
          </w:tcPr>
          <w:p>
            <w:r>
              <w:t xml:space="preserve">APM-AVD-OfficeDeviceLicense</w:t>
            </w:r>
          </w:p>
        </w:tc>
        <w:tc>
          <w:tcPr>
            <w:tcW w:w="2337" w:type="dxa"/>
            <w:vAlign w:val="top"/>
          </w:tcPr>
          <w:p>
            <w:r>
              <w:t xml:space="preserve">Intune admin center &gt; Devices &gt; Configuration profiles &gt; search this name &gt; Assignments</w:t>
            </w:r>
          </w:p>
        </w:tc>
        <w:tc>
          <w:tcPr>
            <w:tcW w:w="2337" w:type="dxa"/>
            <w:vAlign w:val="top"/>
          </w:tcPr>
          <w:p>
            <w:r>
              <w:t xml:space="preserve">Remove SG-APM-Kiosk-FVE-SessionHosts from Assignments</w:t>
            </w:r>
          </w:p>
        </w:tc>
      </w:tr>
      <w:tr>
        <w:tc>
          <w:tcPr>
            <w:tcW w:w="2337" w:type="dxa"/>
            <w:vAlign w:val="top"/>
          </w:tcPr>
          <w:p>
            <w:r>
              <w:t xml:space="preserve">2</w:t>
            </w:r>
          </w:p>
        </w:tc>
        <w:tc>
          <w:tcPr>
            <w:tcW w:w="2337" w:type="dxa"/>
            <w:vAlign w:val="top"/>
          </w:tcPr>
          <w:p>
            <w:r>
              <w:t xml:space="preserve">APM-AVD-AssignedAccess</w:t>
            </w:r>
          </w:p>
        </w:tc>
        <w:tc>
          <w:tcPr>
            <w:tcW w:w="2337" w:type="dxa"/>
            <w:vAlign w:val="top"/>
          </w:tcPr>
          <w:p>
            <w:r>
              <w:t xml:space="preserve">Same</w:t>
            </w:r>
          </w:p>
        </w:tc>
        <w:tc>
          <w:tcPr>
            <w:tcW w:w="2337" w:type="dxa"/>
            <w:vAlign w:val="top"/>
          </w:tcPr>
          <w:p>
            <w:r>
              <w:t xml:space="preserve">Remove SG-APM-Kiosk-FVE-SessionHosts from Assignments</w:t>
            </w:r>
          </w:p>
        </w:tc>
      </w:tr>
      <w:tr>
        <w:tc>
          <w:tcPr>
            <w:tcW w:w="2337" w:type="dxa"/>
            <w:vAlign w:val="top"/>
          </w:tcPr>
          <w:p>
            <w:r>
              <w:t xml:space="preserve">3</w:t>
            </w:r>
          </w:p>
        </w:tc>
        <w:tc>
          <w:tcPr>
            <w:tcW w:w="2337" w:type="dxa"/>
            <w:vAlign w:val="top"/>
          </w:tcPr>
          <w:p>
            <w:r>
              <w:t xml:space="preserve">APM-AVD-SessionLimits</w:t>
            </w:r>
          </w:p>
        </w:tc>
        <w:tc>
          <w:tcPr>
            <w:tcW w:w="2337" w:type="dxa"/>
            <w:vAlign w:val="top"/>
          </w:tcPr>
          <w:p>
            <w:r>
              <w:t xml:space="preserve">Same</w:t>
            </w:r>
          </w:p>
        </w:tc>
        <w:tc>
          <w:tcPr>
            <w:tcW w:w="2337" w:type="dxa"/>
            <w:vAlign w:val="top"/>
          </w:tcPr>
          <w:p>
            <w:r>
              <w:t xml:space="preserve">Remove SG-APM-Kiosk-FVE-SessionHosts from Assignments</w:t>
            </w:r>
          </w:p>
        </w:tc>
      </w:tr>
      <w:tr>
        <w:tc>
          <w:tcPr>
            <w:tcW w:w="2337" w:type="dxa"/>
            <w:vAlign w:val="top"/>
          </w:tcPr>
          <w:p>
            <w:r>
              <w:t xml:space="preserve">4</w:t>
            </w:r>
          </w:p>
        </w:tc>
        <w:tc>
          <w:tcPr>
            <w:tcW w:w="2337" w:type="dxa"/>
            <w:vAlign w:val="top"/>
          </w:tcPr>
          <w:p>
            <w:r>
              <w:t xml:space="preserve">APM-AVD-DisconnectOnLock</w:t>
            </w:r>
          </w:p>
        </w:tc>
        <w:tc>
          <w:tcPr>
            <w:tcW w:w="2337" w:type="dxa"/>
            <w:vAlign w:val="top"/>
          </w:tcPr>
          <w:p>
            <w:r>
              <w:t xml:space="preserve">Same</w:t>
            </w:r>
          </w:p>
        </w:tc>
        <w:tc>
          <w:tcPr>
            <w:tcW w:w="2337" w:type="dxa"/>
            <w:vAlign w:val="top"/>
          </w:tcPr>
          <w:p>
            <w:r>
              <w:t xml:space="preserve">Remove SG-APM-Kiosk-FVE-SessionHosts from Assignments</w:t>
            </w:r>
          </w:p>
        </w:tc>
      </w:tr>
      <w:tr>
        <w:tc>
          <w:tcPr>
            <w:tcW w:w="2337" w:type="dxa"/>
            <w:vAlign w:val="top"/>
          </w:tcPr>
          <w:p>
            <w:r>
              <w:t xml:space="preserve">5</w:t>
            </w:r>
          </w:p>
        </w:tc>
        <w:tc>
          <w:tcPr>
            <w:tcW w:w="2337" w:type="dxa"/>
            <w:vAlign w:val="top"/>
          </w:tcPr>
          <w:p>
            <w:r>
              <w:t xml:space="preserve">APM-AVD-EdgeHardening</w:t>
            </w:r>
          </w:p>
        </w:tc>
        <w:tc>
          <w:tcPr>
            <w:tcW w:w="2337" w:type="dxa"/>
            <w:vAlign w:val="top"/>
          </w:tcPr>
          <w:p>
            <w:r>
              <w:t xml:space="preserve">Same</w:t>
            </w:r>
          </w:p>
        </w:tc>
        <w:tc>
          <w:tcPr>
            <w:tcW w:w="2337" w:type="dxa"/>
            <w:vAlign w:val="top"/>
          </w:tcPr>
          <w:p>
            <w:r>
              <w:t xml:space="preserve">Remove SG-APM-Kiosk-FVE-SessionHosts from Assignments</w:t>
            </w:r>
          </w:p>
        </w:tc>
      </w:tr>
      <w:tr>
        <w:tc>
          <w:tcPr>
            <w:tcW w:w="2337" w:type="dxa"/>
            <w:vAlign w:val="top"/>
          </w:tcPr>
          <w:p>
            <w:r>
              <w:t xml:space="preserve">6</w:t>
            </w:r>
          </w:p>
        </w:tc>
        <w:tc>
          <w:tcPr>
            <w:tcW w:w="2337" w:type="dxa"/>
            <w:vAlign w:val="top"/>
          </w:tcPr>
          <w:p>
            <w:r>
              <w:t xml:space="preserve">APM-AVD-ProfileCleanup</w:t>
            </w:r>
          </w:p>
        </w:tc>
        <w:tc>
          <w:tcPr>
            <w:tcW w:w="2337" w:type="dxa"/>
            <w:vAlign w:val="top"/>
          </w:tcPr>
          <w:p>
            <w:r>
              <w:t xml:space="preserve">Same</w:t>
            </w:r>
          </w:p>
        </w:tc>
        <w:tc>
          <w:tcPr>
            <w:tcW w:w="2337" w:type="dxa"/>
            <w:vAlign w:val="top"/>
          </w:tcPr>
          <w:p>
            <w:r>
              <w:t xml:space="preserve">Remove SG-APM-Kiosk-FVE-SessionHosts from Assignments</w:t>
            </w:r>
          </w:p>
        </w:tc>
      </w:tr>
    </w:tbl>
    <w:p>
      <w:pPr>
        <w:spacing w:after="160"/>
      </w:pPr>
      <w:r>
        <w:t xml:space="preserve"/>
      </w:r>
    </w:p>
    <w:p>
      <w:pPr>
        <w:spacing w:after="120"/>
      </w:pPr>
      <w:r>
        <w:t xml:space="preserve">Before reassigning any of these six to a Standard User AVD SOE device group: their </w:t>
      </w:r>
      <w:r>
        <w:rPr>
          <w:i/>
        </w:rPr>
        <w:t xml:space="preserve">content</w:t>
      </w:r>
      <w:r>
        <w:t xml:space="preserve"> was tuned for the kiosk Assigned Access pattern (kiosk-length session limits, kiosk-only Edge hardening, kiosk profile cleanup). Review each setting against Standard User SOE's actual requirements rather than assuming direct reuse.</w:t>
      </w:r>
    </w:p>
    <w:p>
      <w:pPr>
        <w:pStyle w:val="Heading2"/>
      </w:pPr>
      <w:r>
        <w:t xml:space="preserve">5. Handover to the AVD SOEs</w:t>
      </w:r>
    </w:p>
    <w:p>
      <w:pPr>
        <w:spacing w:after="120"/>
      </w:pPr>
      <w:r>
        <w:t xml:space="preserve">Confirm with the receiving design lead before Stage 3.</w:t>
      </w:r>
    </w:p>
    <w:tbl>
      <w:tblPr>
        <w:tblW w:w="9350" w:type="dxa"/>
        <w:tblBorders>
          <w:top w:val="single" w:sz="4" w:space="0" w:color="C9D0E0"/>
          <w:left w:val="single" w:sz="4" w:space="0" w:color="C9D0E0"/>
          <w:bottom w:val="single" w:sz="4" w:space="0" w:color="C9D0E0"/>
          <w:right w:val="single" w:sz="4" w:space="0" w:color="C9D0E0"/>
          <w:insideH w:val="single" w:sz="4" w:space="0" w:color="C9D0E0"/>
          <w:insideV w:val="single" w:sz="4" w:space="0" w:color="C9D0E0"/>
        </w:tblBorders>
        <w:tblLook w:val="04A0"/>
      </w:tblPr>
      <w:tblGrid>
        <w:gridCol w:w="2337"/>
        <w:gridCol w:w="2337"/>
        <w:gridCol w:w="2337"/>
        <w:gridCol w:w="2337"/>
      </w:tblGrid>
      <w:tr>
        <w:tc>
          <w:tcPr>
            <w:tcW w:w="2337" w:type="dxa"/>
            <w:shd w:val="clear" w:fill="E7EAF2"/>
            <w:vAlign w:val="top"/>
          </w:tcPr>
          <w:p>
            <w:r>
              <w:rPr>
                <w:b/>
              </w:rPr>
              <w:t xml:space="preserve">Object</w:t>
            </w:r>
          </w:p>
        </w:tc>
        <w:tc>
          <w:tcPr>
            <w:tcW w:w="2337" w:type="dxa"/>
            <w:shd w:val="clear" w:fill="E7EAF2"/>
            <w:vAlign w:val="top"/>
          </w:tcPr>
          <w:p>
            <w:r>
              <w:rPr>
                <w:b/>
              </w:rPr>
              <w:t xml:space="preserve">Receiving use case</w:t>
            </w:r>
          </w:p>
        </w:tc>
        <w:tc>
          <w:tcPr>
            <w:tcW w:w="2337" w:type="dxa"/>
            <w:shd w:val="clear" w:fill="E7EAF2"/>
            <w:vAlign w:val="top"/>
          </w:tcPr>
          <w:p>
            <w:r>
              <w:rPr>
                <w:b/>
              </w:rPr>
              <w:t xml:space="preserve">Used for</w:t>
            </w:r>
          </w:p>
        </w:tc>
        <w:tc>
          <w:tcPr>
            <w:tcW w:w="2337" w:type="dxa"/>
            <w:shd w:val="clear" w:fill="E7EAF2"/>
            <w:vAlign w:val="top"/>
          </w:tcPr>
          <w:p>
            <w:r>
              <w:rPr>
                <w:b/>
              </w:rPr>
              <w:t xml:space="preserve">Renamed to</w:t>
            </w:r>
          </w:p>
        </w:tc>
      </w:tr>
      <w:tr>
        <w:tc>
          <w:tcPr>
            <w:tcW w:w="2337" w:type="dxa"/>
            <w:vAlign w:val="top"/>
          </w:tcPr>
          <w:p>
            <w:r>
              <w:t xml:space="preserve">Hub and spoke VNet and subnet allocation</w:t>
            </w:r>
          </w:p>
        </w:tc>
        <w:tc>
          <w:tcPr>
            <w:tcW w:w="2337" w:type="dxa"/>
            <w:vAlign w:val="top"/>
          </w:tcPr>
          <w:p>
            <w:r>
              <w:t xml:space="preserve">Standard User AVD SOE, Developer AVD SOE</w:t>
            </w:r>
          </w:p>
        </w:tc>
        <w:tc>
          <w:tcPr>
            <w:tcW w:w="2337" w:type="dxa"/>
            <w:vAlign w:val="top"/>
          </w:tcPr>
          <w:p>
            <w:r>
              <w:t xml:space="preserve">Session host subnets, private endpoint subnets, shared services path</w:t>
            </w:r>
          </w:p>
        </w:tc>
        <w:tc>
          <w:tcPr>
            <w:tcW w:w="2337" w:type="dxa"/>
            <w:vAlign w:val="top"/>
          </w:tcPr>
          <w:p>
            <w:r>
              <w:t xml:space="preserve">Per network foundation naming</w:t>
            </w:r>
          </w:p>
        </w:tc>
      </w:tr>
      <w:tr>
        <w:tc>
          <w:tcPr>
            <w:tcW w:w="2337" w:type="dxa"/>
            <w:vAlign w:val="top"/>
          </w:tcPr>
          <w:p>
            <w:r>
              <w:t xml:space="preserve">Microsoft Cloud PKI and SCEP, if retained</w:t>
            </w:r>
          </w:p>
        </w:tc>
        <w:tc>
          <w:tcPr>
            <w:tcW w:w="2337" w:type="dxa"/>
            <w:vAlign w:val="top"/>
          </w:tcPr>
          <w:p>
            <w:r>
              <w:t xml:space="preserve">Standard User AVD SOE, Privileged Access</w:t>
            </w:r>
          </w:p>
        </w:tc>
        <w:tc>
          <w:tcPr>
            <w:tcW w:w="2337" w:type="dxa"/>
            <w:vAlign w:val="top"/>
          </w:tcPr>
          <w:p>
            <w:r>
              <w:t xml:space="preserve">Device or user certificates</w:t>
            </w:r>
          </w:p>
        </w:tc>
        <w:tc>
          <w:tcPr>
            <w:tcW w:w="2337" w:type="dxa"/>
            <w:vAlign w:val="top"/>
          </w:tcPr>
          <w:p>
            <w:r>
              <w:t xml:space="preserve">Decision required first, see §1e</w:t>
            </w:r>
          </w:p>
        </w:tc>
      </w:tr>
      <w:tr>
        <w:tc>
          <w:tcPr>
            <w:tcW w:w="2337" w:type="dxa"/>
            <w:vAlign w:val="top"/>
          </w:tcPr>
          <w:p>
            <w:r>
              <w:t xml:space="preserve">Azure Image Builder prerequisites, if any exist</w:t>
            </w:r>
          </w:p>
        </w:tc>
        <w:tc>
          <w:tcPr>
            <w:tcW w:w="2337" w:type="dxa"/>
            <w:vAlign w:val="top"/>
          </w:tcPr>
          <w:p>
            <w:r>
              <w:t xml:space="preserve">Developer AVD SOE</w:t>
            </w:r>
          </w:p>
        </w:tc>
        <w:tc>
          <w:tcPr>
            <w:tcW w:w="2337" w:type="dxa"/>
            <w:vAlign w:val="top"/>
          </w:tcPr>
          <w:p>
            <w:r>
              <w:t xml:space="preserve">The image pipeline the Developer SOE specifies</w:t>
            </w:r>
          </w:p>
        </w:tc>
        <w:tc>
          <w:tcPr>
            <w:tcW w:w="2337" w:type="dxa"/>
            <w:vAlign w:val="top"/>
          </w:tcPr>
          <w:p>
            <w:r>
              <w:t xml:space="preserve">Confirmed by the Developer design lead</w:t>
            </w:r>
          </w:p>
        </w:tc>
      </w:tr>
    </w:tbl>
    <w:p>
      <w:pPr>
        <w:spacing w:after="160"/>
      </w:pPr>
      <w:r>
        <w:t xml:space="preserve"/>
      </w:r>
    </w:p>
    <w:p>
      <w:pPr>
        <w:spacing w:after="120"/>
      </w:pPr>
      <w:r>
        <w:t xml:space="preserve">The FVE (§4) is </w:t>
      </w:r>
      <w:r>
        <w:rPr>
          <w:b/>
        </w:rPr>
        <w:t xml:space="preserve">deleted, not handed over</w:t>
      </w:r>
      <w:r>
        <w:t xml:space="preserve">. Rebuild a functional validation environment fresh under AVD naming when required, on fresh Azure Virtual Desktop objects, not the kiosk-scoped resource group.</w:t>
      </w:r>
    </w:p>
    <w:p>
      <w:pPr>
        <w:pStyle w:val="Heading1"/>
      </w:pPr>
      <w:r>
        <w:t xml:space="preserve">Justification</w:t>
      </w:r>
    </w:p>
    <w:p>
      <w:pPr>
        <w:ind w:left="360" w:hanging="360"/>
        <w:spacing w:after="60"/>
      </w:pPr>
      <w:r>
        <w:t xml:space="preserve">•  Removes the only internet-facing endpoint the superseded solution created.</w:t>
      </w:r>
    </w:p>
    <w:p>
      <w:pPr>
        <w:ind w:left="360" w:hanging="360"/>
        <w:spacing w:after="60"/>
      </w:pPr>
      <w:r>
        <w:t xml:space="preserve">•  Closes fourteen Conditional Access policies, a Conditional Access exclusion, and an unowned test environment before an RFFR assessor or an attacker finds them first.</w:t>
      </w:r>
    </w:p>
    <w:p>
      <w:pPr>
        <w:ind w:left="360" w:hanging="360"/>
        <w:spacing w:after="60"/>
      </w:pPr>
      <w:r>
        <w:t xml:space="preserve">•  Frees the naming and address-allocation pattern the Standard User and Developer AVD SOEs need, without losing any of it or carrying forward kiosk-specific rules that don't fit their traffic pattern.</w:t>
      </w:r>
    </w:p>
    <w:p>
      <w:pPr>
        <w:pStyle w:val="Heading1"/>
      </w:pPr>
      <w:r>
        <w:t xml:space="preserve">Implementation plan</w:t>
      </w:r>
    </w:p>
    <w:p>
      <w:pPr>
        <w:spacing w:after="120"/>
      </w:pPr>
      <w:r>
        <w:rPr>
          <w:b/>
        </w:rPr>
        <w:t xml:space="preserve">Before starting</w:t>
      </w:r>
    </w:p>
    <w:p>
      <w:pPr>
        <w:ind w:left="360" w:hanging="360"/>
        <w:spacing w:after="60"/>
      </w:pPr>
      <w:r>
        <w:t xml:space="preserve">1. Confirm Participant Kiosk V1.0 is approved.</w:t>
      </w:r>
    </w:p>
    <w:p>
      <w:pPr>
        <w:ind w:left="360" w:hanging="360"/>
        <w:spacing w:after="60"/>
      </w:pPr>
      <w:r>
        <w:t xml:space="preserve">2. Confirm the Participant Kiosk pilot has passed its validation and test plan in full.</w:t>
      </w:r>
    </w:p>
    <w:p>
      <w:pPr>
        <w:ind w:left="360" w:hanging="360"/>
        <w:spacing w:after="60"/>
      </w:pPr>
      <w:r>
        <w:t xml:space="preserve">3. Complete and file every evidence export in Evidence and close-out.</w:t>
      </w:r>
    </w:p>
    <w:p>
      <w:pPr>
        <w:ind w:left="360" w:hanging="360"/>
        <w:spacing w:after="60"/>
      </w:pPr>
      <w:r>
        <w:t xml:space="preserve">4. Get sign-off from the Standard User and Developer SOE leads on the Handover table (§5).</w:t>
      </w:r>
    </w:p>
    <w:p>
      <w:pPr>
        <w:ind w:left="360" w:hanging="360"/>
        <w:spacing w:after="60"/>
      </w:pPr>
      <w:r>
        <w:t xml:space="preserve">5. Confirm the Zscaler provisioning workshop (DR-013) has concluded.</w:t>
      </w:r>
    </w:p>
    <w:p>
      <w:pPr>
        <w:ind w:left="360" w:hanging="360"/>
        <w:spacing w:after="60"/>
      </w:pPr>
      <w:r>
        <w:t xml:space="preserve">6. Confirm by resource query whether the FVE (§4) is still live.</w:t>
      </w:r>
    </w:p>
    <w:p>
      <w:pPr>
        <w:spacing w:after="120"/>
      </w:pPr>
      <w:r>
        <w:rPr>
          <w:b/>
        </w:rPr>
        <w:t xml:space="preserve">Execution</w:t>
      </w:r>
    </w:p>
    <w:p>
      <w:pPr>
        <w:ind w:left="360" w:hanging="360"/>
        <w:spacing w:after="60"/>
      </w:pPr>
      <w:r>
        <w:t xml:space="preserve">1. </w:t>
      </w:r>
      <w:r>
        <w:rPr>
          <w:b/>
        </w:rPr>
        <w:t xml:space="preserve">Stage 1 - stop the flow.</w:t>
      </w:r>
      <w:r>
        <w:t xml:space="preserve"> Confirm zero kiosk accounts exist (expected, §1a). Remove the Credential Proxy public endpoint. Fully reversible.</w:t>
      </w:r>
    </w:p>
    <w:p>
      <w:pPr>
        <w:ind w:left="360" w:hanging="360"/>
        <w:spacing w:after="60"/>
      </w:pPr>
      <w:r>
        <w:t xml:space="preserve">2. </w:t>
      </w:r>
      <w:r>
        <w:rPr>
          <w:b/>
        </w:rPr>
        <w:t xml:space="preserve">Stage 2 - observe, 30 days.</w:t>
      </w:r>
      <w:r>
        <w:t xml:space="preserve"> Confirm zero authentication attempts, zero Key Vault access, zero calls to the proxy.</w:t>
      </w:r>
    </w:p>
    <w:p>
      <w:pPr>
        <w:ind w:left="360" w:hanging="360"/>
        <w:spacing w:after="60"/>
      </w:pPr>
      <w:r>
        <w:t xml:space="preserve">3. </w:t>
      </w:r>
      <w:r>
        <w:rPr>
          <w:b/>
        </w:rPr>
        <w:t xml:space="preserve">Stage 3 - hand over.</w:t>
      </w:r>
      <w:r>
        <w:t xml:space="preserve"> Rename the VNet/subnet allocation (§2c) and reassign the §5 components to their receiving use cases before anything adjacent is deleted.</w:t>
      </w:r>
    </w:p>
    <w:p>
      <w:pPr>
        <w:ind w:left="360" w:hanging="360"/>
        <w:spacing w:after="60"/>
      </w:pPr>
      <w:r>
        <w:t xml:space="preserve">4. </w:t>
      </w:r>
      <w:r>
        <w:rPr>
          <w:b/>
        </w:rPr>
        <w:t xml:space="preserve">Stage 4 - delete compute and identity.</w:t>
      </w:r>
      <w:r>
        <w:t xml:space="preserve"> Function App, Automation account and its three runbooks, all 14 kiosk Conditional Access policies (§1b, §1c), the two exclusions (§1d), the Information Barrier segment and policy, kiosk Intune profiles and scripts (§1f), then confirm zero accounts (§1a).</w:t>
      </w:r>
    </w:p>
    <w:p>
      <w:pPr>
        <w:ind w:left="360" w:hanging="360"/>
        <w:spacing w:after="60"/>
      </w:pPr>
      <w:r>
        <w:t xml:space="preserve">5. </w:t>
      </w:r>
      <w:r>
        <w:rPr>
          <w:b/>
        </w:rPr>
        <w:t xml:space="preserve">Stage 5 - delete vault, monitoring and network.</w:t>
      </w:r>
      <w:r>
        <w:t xml:space="preserve"> Key Vault delete and purge. Log Analytics workspace, both NSGs and the kiosk route table (§2b). Certificate authority revocation only if the §1e decision is Delete.</w:t>
      </w:r>
    </w:p>
    <w:p>
      <w:pPr>
        <w:ind w:left="360" w:hanging="360"/>
        <w:spacing w:after="60"/>
      </w:pPr>
      <w:r>
        <w:t xml:space="preserve">6. </w:t>
      </w:r>
      <w:r>
        <w:rPr>
          <w:b/>
        </w:rPr>
        <w:t xml:space="preserve">Stage 6 - decommission the FVE (§4), if still live.</w:t>
      </w:r>
      <w:r>
        <w:t xml:space="preserve"> Nerdio objects, resource group, both groups, the Conditional Access policy, test accounts, then remove the six Intune profile assignments.</w:t>
      </w:r>
    </w:p>
    <w:p>
      <w:pPr>
        <w:ind w:left="360" w:hanging="360"/>
        <w:spacing w:after="60"/>
      </w:pPr>
      <w:r>
        <w:t xml:space="preserve">7. </w:t>
      </w:r>
      <w:r>
        <w:rPr>
          <w:b/>
        </w:rPr>
        <w:t xml:space="preserve">Stage 7 - narrow the network.</w:t>
      </w:r>
      <w:r>
        <w:t xml:space="preserve"> Remove the Meraki and Palo Alto entries for retired endpoints. Remove the four Zscaler objects once the workshop has concluded.</w:t>
      </w:r>
    </w:p>
    <w:p>
      <w:pPr>
        <w:ind w:left="360" w:hanging="360"/>
        <w:spacing w:after="60"/>
      </w:pPr>
      <w:r>
        <w:t xml:space="preserve">8. </w:t>
      </w:r>
      <w:r>
        <w:rPr>
          <w:b/>
        </w:rPr>
        <w:t xml:space="preserve">Stage 8 - remove the domain.</w:t>
      </w:r>
      <w:r>
        <w:t xml:space="preserve"> Remove apmkiosk.net.au as a managed domain from the tenant. Retain the registrar record per §3.</w:t>
      </w:r>
    </w:p>
    <w:p>
      <w:pPr>
        <w:pStyle w:val="Heading1"/>
      </w:pPr>
      <w:r>
        <w:t xml:space="preserve">Verification</w:t>
      </w:r>
    </w:p>
    <w:p>
      <w:pPr>
        <w:ind w:left="360" w:hanging="360"/>
        <w:spacing w:after="60"/>
      </w:pPr>
      <w:r>
        <w:t xml:space="preserve">•  Zero kiosk accounts exist on apmkiosk.net.au before Stage 8.</w:t>
      </w:r>
    </w:p>
    <w:p>
      <w:pPr>
        <w:ind w:left="360" w:hanging="360"/>
        <w:spacing w:after="60"/>
      </w:pPr>
      <w:r>
        <w:t xml:space="preserve">•  Zero calls to the Credential Proxy in the 30 days before Stage 4.</w:t>
      </w:r>
    </w:p>
    <w:p>
      <w:pPr>
        <w:ind w:left="360" w:hanging="360"/>
        <w:spacing w:after="60"/>
      </w:pPr>
      <w:r>
        <w:t xml:space="preserve">•  Zero Key Vault access in the 30 days before Stage 5.</w:t>
      </w:r>
    </w:p>
    <w:p>
      <w:pPr>
        <w:ind w:left="360" w:hanging="360"/>
        <w:spacing w:after="60"/>
      </w:pPr>
      <w:r>
        <w:t xml:space="preserve">•  All 14 Conditional Access policies (§1b, §1c) confirmed absent after Stage 4.</w:t>
      </w:r>
    </w:p>
    <w:p>
      <w:pPr>
        <w:ind w:left="360" w:hanging="360"/>
        <w:spacing w:after="60"/>
      </w:pPr>
      <w:r>
        <w:t xml:space="preserve">•  FVE liveness confirmed by resource query before deciding whether Stage 6 applies.</w:t>
      </w:r>
    </w:p>
    <w:p>
      <w:pPr>
        <w:ind w:left="360" w:hanging="360"/>
        <w:spacing w:after="60"/>
      </w:pPr>
      <w:r>
        <w:t xml:space="preserve">•  Both AVD SOE design leads have signed the Handover table (§5) before Stage 3.</w:t>
      </w:r>
    </w:p>
    <w:p>
      <w:pPr>
        <w:pStyle w:val="Heading1"/>
      </w:pPr>
      <w:r>
        <w:t xml:space="preserve">Test plan</w:t>
      </w:r>
    </w:p>
    <w:tbl>
      <w:tblPr>
        <w:tblW w:w="9350" w:type="dxa"/>
        <w:tblBorders>
          <w:top w:val="single" w:sz="4" w:space="0" w:color="C9D0E0"/>
          <w:left w:val="single" w:sz="4" w:space="0" w:color="C9D0E0"/>
          <w:bottom w:val="single" w:sz="4" w:space="0" w:color="C9D0E0"/>
          <w:right w:val="single" w:sz="4" w:space="0" w:color="C9D0E0"/>
          <w:insideH w:val="single" w:sz="4" w:space="0" w:color="C9D0E0"/>
          <w:insideV w:val="single" w:sz="4" w:space="0" w:color="C9D0E0"/>
        </w:tblBorders>
        <w:tblLook w:val="04A0"/>
      </w:tblPr>
      <w:tblGrid>
        <w:gridCol w:w="3116"/>
        <w:gridCol w:w="3116"/>
        <w:gridCol w:w="3116"/>
      </w:tblGrid>
      <w:tr>
        <w:tc>
          <w:tcPr>
            <w:tcW w:w="3116" w:type="dxa"/>
            <w:shd w:val="clear" w:fill="E7EAF2"/>
            <w:vAlign w:val="top"/>
          </w:tcPr>
          <w:p>
            <w:r>
              <w:rPr>
                <w:b/>
              </w:rPr>
              <w:t xml:space="preserve">#</w:t>
            </w:r>
          </w:p>
        </w:tc>
        <w:tc>
          <w:tcPr>
            <w:tcW w:w="3116" w:type="dxa"/>
            <w:shd w:val="clear" w:fill="E7EAF2"/>
            <w:vAlign w:val="top"/>
          </w:tcPr>
          <w:p>
            <w:r>
              <w:rPr>
                <w:b/>
              </w:rPr>
              <w:t xml:space="preserve">Test</w:t>
            </w:r>
          </w:p>
        </w:tc>
        <w:tc>
          <w:tcPr>
            <w:tcW w:w="3116" w:type="dxa"/>
            <w:shd w:val="clear" w:fill="E7EAF2"/>
            <w:vAlign w:val="top"/>
          </w:tcPr>
          <w:p>
            <w:r>
              <w:rPr>
                <w:b/>
              </w:rPr>
              <w:t xml:space="preserve">Expected result</w:t>
            </w:r>
          </w:p>
        </w:tc>
      </w:tr>
      <w:tr>
        <w:tc>
          <w:tcPr>
            <w:tcW w:w="3116" w:type="dxa"/>
            <w:vAlign w:val="top"/>
          </w:tcPr>
          <w:p>
            <w:r>
              <w:t xml:space="preserve">1</w:t>
            </w:r>
          </w:p>
        </w:tc>
        <w:tc>
          <w:tcPr>
            <w:tcW w:w="3116" w:type="dxa"/>
            <w:vAlign w:val="top"/>
          </w:tcPr>
          <w:p>
            <w:r>
              <w:t xml:space="preserve">Authentication attempts against kiosk accounts during the observation window</w:t>
            </w:r>
          </w:p>
        </w:tc>
        <w:tc>
          <w:tcPr>
            <w:tcW w:w="3116" w:type="dxa"/>
            <w:vAlign w:val="top"/>
          </w:tcPr>
          <w:p>
            <w:r>
              <w:t xml:space="preserve">Zero across 30 days (trivially true - no accounts were created)</w:t>
            </w:r>
          </w:p>
        </w:tc>
      </w:tr>
      <w:tr>
        <w:tc>
          <w:tcPr>
            <w:tcW w:w="3116" w:type="dxa"/>
            <w:vAlign w:val="top"/>
          </w:tcPr>
          <w:p>
            <w:r>
              <w:t xml:space="preserve">2</w:t>
            </w:r>
          </w:p>
        </w:tc>
        <w:tc>
          <w:tcPr>
            <w:tcW w:w="3116" w:type="dxa"/>
            <w:vAlign w:val="top"/>
          </w:tcPr>
          <w:p>
            <w:r>
              <w:t xml:space="preserve">Calls to the Credential Proxy endpoint after removal</w:t>
            </w:r>
          </w:p>
        </w:tc>
        <w:tc>
          <w:tcPr>
            <w:tcW w:w="3116" w:type="dxa"/>
            <w:vAlign w:val="top"/>
          </w:tcPr>
          <w:p>
            <w:r>
              <w:t xml:space="preserve">Zero, confirmed in Function App and network logs</w:t>
            </w:r>
          </w:p>
        </w:tc>
      </w:tr>
      <w:tr>
        <w:tc>
          <w:tcPr>
            <w:tcW w:w="3116" w:type="dxa"/>
            <w:vAlign w:val="top"/>
          </w:tcPr>
          <w:p>
            <w:r>
              <w:t xml:space="preserve">3</w:t>
            </w:r>
          </w:p>
        </w:tc>
        <w:tc>
          <w:tcPr>
            <w:tcW w:w="3116" w:type="dxa"/>
            <w:vAlign w:val="top"/>
          </w:tcPr>
          <w:p>
            <w:r>
              <w:t xml:space="preserve">Key Vault access after accounts disabled</w:t>
            </w:r>
          </w:p>
        </w:tc>
        <w:tc>
          <w:tcPr>
            <w:tcW w:w="3116" w:type="dxa"/>
            <w:vAlign w:val="top"/>
          </w:tcPr>
          <w:p>
            <w:r>
              <w:t xml:space="preserve">Zero, confirmed in the vault audit log</w:t>
            </w:r>
          </w:p>
        </w:tc>
      </w:tr>
      <w:tr>
        <w:tc>
          <w:tcPr>
            <w:tcW w:w="3116" w:type="dxa"/>
            <w:vAlign w:val="top"/>
          </w:tcPr>
          <w:p>
            <w:r>
              <w:t xml:space="preserve">4</w:t>
            </w:r>
          </w:p>
        </w:tc>
        <w:tc>
          <w:tcPr>
            <w:tcW w:w="3116" w:type="dxa"/>
            <w:vAlign w:val="top"/>
          </w:tcPr>
          <w:p>
            <w:r>
              <w:t xml:space="preserve">Search Conditional Access for "CA-APM-Kiosk" and "CA-APM-KioskPB"</w:t>
            </w:r>
          </w:p>
        </w:tc>
        <w:tc>
          <w:tcPr>
            <w:tcW w:w="3116" w:type="dxa"/>
            <w:vAlign w:val="top"/>
          </w:tcPr>
          <w:p>
            <w:r>
              <w:t xml:space="preserve">No results</w:t>
            </w:r>
          </w:p>
        </w:tc>
      </w:tr>
      <w:tr>
        <w:tc>
          <w:tcPr>
            <w:tcW w:w="3116" w:type="dxa"/>
            <w:vAlign w:val="top"/>
          </w:tcPr>
          <w:p>
            <w:r>
              <w:t xml:space="preserve">5</w:t>
            </w:r>
          </w:p>
        </w:tc>
        <w:tc>
          <w:tcPr>
            <w:tcW w:w="3116" w:type="dxa"/>
            <w:vAlign w:val="top"/>
          </w:tcPr>
          <w:p>
            <w:r>
              <w:t xml:space="preserve">Conditional Access exclusions referencing SG-APM-Kiosk-Users</w:t>
            </w:r>
          </w:p>
        </w:tc>
        <w:tc>
          <w:tcPr>
            <w:tcW w:w="3116" w:type="dxa"/>
            <w:vAlign w:val="top"/>
          </w:tcPr>
          <w:p>
            <w:r>
              <w:t xml:space="preserve">None remain, confirmed by policy export</w:t>
            </w:r>
          </w:p>
        </w:tc>
      </w:tr>
      <w:tr>
        <w:tc>
          <w:tcPr>
            <w:tcW w:w="3116" w:type="dxa"/>
            <w:vAlign w:val="top"/>
          </w:tcPr>
          <w:p>
            <w:r>
              <w:t xml:space="preserve">6</w:t>
            </w:r>
          </w:p>
        </w:tc>
        <w:tc>
          <w:tcPr>
            <w:tcW w:w="3116" w:type="dxa"/>
            <w:vAlign w:val="top"/>
          </w:tcPr>
          <w:p>
            <w:r>
              <w:t xml:space="preserve">Retained components reachable and named to schema</w:t>
            </w:r>
          </w:p>
        </w:tc>
        <w:tc>
          <w:tcPr>
            <w:tcW w:w="3116" w:type="dxa"/>
            <w:vAlign w:val="top"/>
          </w:tcPr>
          <w:p>
            <w:r>
              <w:t xml:space="preserve">The §5 VNet/subnet allocation resolves under its new name; receiving design confirms</w:t>
            </w:r>
          </w:p>
        </w:tc>
      </w:tr>
      <w:tr>
        <w:tc>
          <w:tcPr>
            <w:tcW w:w="3116" w:type="dxa"/>
            <w:vAlign w:val="top"/>
          </w:tcPr>
          <w:p>
            <w:r>
              <w:t xml:space="preserve">7</w:t>
            </w:r>
          </w:p>
        </w:tc>
        <w:tc>
          <w:tcPr>
            <w:tcW w:w="3116" w:type="dxa"/>
            <w:vAlign w:val="top"/>
          </w:tcPr>
          <w:p>
            <w:r>
              <w:t xml:space="preserve">Participant Kiosk fleet, throughout the sequence</w:t>
            </w:r>
          </w:p>
        </w:tc>
        <w:tc>
          <w:tcPr>
            <w:tcW w:w="3116" w:type="dxa"/>
            <w:vAlign w:val="top"/>
          </w:tcPr>
          <w:p>
            <w:r>
              <w:t xml:space="preserve">Fleet compliance, application install state and internet access unchanged</w:t>
            </w:r>
          </w:p>
        </w:tc>
      </w:tr>
      <w:tr>
        <w:tc>
          <w:tcPr>
            <w:tcW w:w="3116" w:type="dxa"/>
            <w:vAlign w:val="top"/>
          </w:tcPr>
          <w:p>
            <w:r>
              <w:t xml:space="preserve">8</w:t>
            </w:r>
          </w:p>
        </w:tc>
        <w:tc>
          <w:tcPr>
            <w:tcW w:w="3116" w:type="dxa"/>
            <w:vAlign w:val="top"/>
          </w:tcPr>
          <w:p>
            <w:r>
              <w:t xml:space="preserve">FVE resource group and objects (§4)</w:t>
            </w:r>
          </w:p>
        </w:tc>
        <w:tc>
          <w:tcPr>
            <w:tcW w:w="3116" w:type="dxa"/>
            <w:vAlign w:val="top"/>
          </w:tcPr>
          <w:p>
            <w:r>
              <w:t xml:space="preserve">Absent from the subscription, confirmed by resource query after Stage 6</w:t>
            </w:r>
          </w:p>
        </w:tc>
      </w:tr>
      <w:tr>
        <w:tc>
          <w:tcPr>
            <w:tcW w:w="3116" w:type="dxa"/>
            <w:vAlign w:val="top"/>
          </w:tcPr>
          <w:p>
            <w:r>
              <w:t xml:space="preserve">9</w:t>
            </w:r>
          </w:p>
        </w:tc>
        <w:tc>
          <w:tcPr>
            <w:tcW w:w="3116" w:type="dxa"/>
            <w:vAlign w:val="top"/>
          </w:tcPr>
          <w:p>
            <w:r>
              <w:t xml:space="preserve">apmkiosk.net.au domain state</w:t>
            </w:r>
          </w:p>
        </w:tc>
        <w:tc>
          <w:tcPr>
            <w:tcW w:w="3116" w:type="dxa"/>
            <w:vAlign w:val="top"/>
          </w:tcPr>
          <w:p>
            <w:r>
              <w:t xml:space="preserve">Removed from the tenant's domain list; registrar record still active</w:t>
            </w:r>
          </w:p>
        </w:tc>
      </w:tr>
    </w:tbl>
    <w:p>
      <w:pPr>
        <w:spacing w:after="160"/>
      </w:pPr>
      <w:r>
        <w:t xml:space="preserve"/>
      </w:r>
    </w:p>
    <w:p>
      <w:pPr>
        <w:pStyle w:val="Heading1"/>
      </w:pPr>
      <w:r>
        <w:t xml:space="preserve">Out of scope</w:t>
      </w:r>
    </w:p>
    <w:p>
      <w:pPr>
        <w:ind w:left="360" w:hanging="360"/>
        <w:spacing w:after="60"/>
      </w:pPr>
      <w:r>
        <w:t xml:space="preserve">•  The Participant Kiosk design itself - approved separately.</w:t>
      </w:r>
    </w:p>
    <w:p>
      <w:pPr>
        <w:ind w:left="360" w:hanging="360"/>
        <w:spacing w:after="60"/>
      </w:pPr>
      <w:r>
        <w:t xml:space="preserve">•  The APM-KIOSK VLAN, SSID and site network - the Participant Kiosk fleet continues to use these unchanged.</w:t>
      </w:r>
    </w:p>
    <w:p>
      <w:pPr>
        <w:ind w:left="360" w:hanging="360"/>
        <w:spacing w:after="60"/>
      </w:pPr>
      <w:r>
        <w:t xml:space="preserve">•  Estate Intune policies, baselines and Conditional Access set - none were created for the kiosk.</w:t>
      </w:r>
    </w:p>
    <w:p>
      <w:pPr>
        <w:ind w:left="360" w:hanging="360"/>
        <w:spacing w:after="60"/>
      </w:pPr>
      <w:r>
        <w:t xml:space="preserve">•  The Standard User and Developer AVD SOE detailed designs - documented separately.</w:t>
      </w:r>
    </w:p>
    <w:p>
      <w:pPr>
        <w:pStyle w:val="Heading1"/>
      </w:pPr>
      <w:r>
        <w:t xml:space="preserve">Operational risks</w:t>
      </w:r>
    </w:p>
    <w:p>
      <w:pPr>
        <w:ind w:left="360" w:hanging="360"/>
        <w:spacing w:after="60"/>
      </w:pPr>
      <w:r>
        <w:t xml:space="preserve">•  A component is deleted that an AVD SOE needed. Bound: Stage 3 hands over before any adjacent deletion, and both design leads sign off §5 first.</w:t>
      </w:r>
    </w:p>
    <w:p>
      <w:pPr>
        <w:ind w:left="360" w:hanging="360"/>
        <w:spacing w:after="60"/>
      </w:pPr>
      <w:r>
        <w:t xml:space="preserve">•  Zscaler objects removed before the replacement forwarding model needs them. Bound: sequenced behind the provisioning workshop as an explicit prerequisite.</w:t>
      </w:r>
    </w:p>
    <w:p>
      <w:pPr>
        <w:ind w:left="360" w:hanging="360"/>
        <w:spacing w:after="60"/>
      </w:pPr>
      <w:r>
        <w:t xml:space="preserve">•  The FVE was assumed decommissioned under its own 60-day clause but is still live. Bound: confirmed by resource query in "Before starting" before Stage 6 is skipped.</w:t>
      </w:r>
    </w:p>
    <w:p>
      <w:pPr>
        <w:ind w:left="360" w:hanging="360"/>
        <w:spacing w:after="60"/>
      </w:pPr>
      <w:r>
        <w:t xml:space="preserve">•  Standard User AVD SOE needs the fresh NSGs and route table sooner than they can be authored. Bound: this is a known cost of the Delete-and-rebuild decision in §2b; raise the NSG rule design with the Standard User SOE lead ahead of Stage 5, not during it.</w:t>
      </w:r>
    </w:p>
    <w:p>
      <w:pPr>
        <w:pStyle w:val="Heading1"/>
      </w:pPr>
      <w:r>
        <w:t xml:space="preserve">Technical risks</w:t>
      </w:r>
    </w:p>
    <w:p>
      <w:pPr>
        <w:ind w:left="360" w:hanging="360"/>
        <w:spacing w:after="60"/>
      </w:pPr>
      <w:r>
        <w:t xml:space="preserve">•  A certificate authority is revoked and a later use case needs it. Bound: held as a decision, not an action, until both design leads confirm. Revocation is not reversible.</w:t>
      </w:r>
    </w:p>
    <w:p>
      <w:pPr>
        <w:pStyle w:val="Heading1"/>
      </w:pPr>
      <w:r>
        <w:t xml:space="preserve">Security risks</w:t>
      </w:r>
    </w:p>
    <w:p>
      <w:pPr>
        <w:ind w:left="360" w:hanging="360"/>
        <w:spacing w:after="60"/>
      </w:pPr>
      <w:r>
        <w:t xml:space="preserve">•  An audit trail is destroyed before export. Bound: evidence export is a prerequisite, not parallel activity. Domain removal is Stage 8, last.</w:t>
      </w:r>
    </w:p>
    <w:p>
      <w:pPr>
        <w:ind w:left="360" w:hanging="360"/>
        <w:spacing w:after="60"/>
      </w:pPr>
      <w:r>
        <w:t xml:space="preserve">•  A Conditional Access exclusion outlives the group it excluded. Bound: removing the exclusion is the same change as deleting the group, not a follow-up task.</w:t>
      </w:r>
    </w:p>
    <w:p>
      <w:pPr>
        <w:ind w:left="360" w:hanging="360"/>
        <w:spacing w:after="60"/>
      </w:pPr>
      <w:r>
        <w:t xml:space="preserve">•  The retired domain name is re-registered and used to phish APM staff or participants. Bound: registration, registrar lock and DMARC reject retained 12 months minimum, reviewed annually.</w:t>
      </w:r>
    </w:p>
    <w:p>
      <w:pPr>
        <w:pStyle w:val="Heading1"/>
      </w:pPr>
      <w:r>
        <w:t xml:space="preserve">Backout plan</w:t>
      </w:r>
    </w:p>
    <w:tbl>
      <w:tblPr>
        <w:tblW w:w="9350" w:type="dxa"/>
        <w:tblBorders>
          <w:top w:val="single" w:sz="4" w:space="0" w:color="C9D0E0"/>
          <w:left w:val="single" w:sz="4" w:space="0" w:color="C9D0E0"/>
          <w:bottom w:val="single" w:sz="4" w:space="0" w:color="C9D0E0"/>
          <w:right w:val="single" w:sz="4" w:space="0" w:color="C9D0E0"/>
          <w:insideH w:val="single" w:sz="4" w:space="0" w:color="C9D0E0"/>
          <w:insideV w:val="single" w:sz="4" w:space="0" w:color="C9D0E0"/>
        </w:tblBorders>
        <w:tblLook w:val="04A0"/>
      </w:tblPr>
      <w:tblGrid>
        <w:gridCol w:w="3116"/>
        <w:gridCol w:w="3116"/>
        <w:gridCol w:w="3116"/>
      </w:tblGrid>
      <w:tr>
        <w:tc>
          <w:tcPr>
            <w:tcW w:w="3116" w:type="dxa"/>
            <w:shd w:val="clear" w:fill="E7EAF2"/>
            <w:vAlign w:val="top"/>
          </w:tcPr>
          <w:p>
            <w:r>
              <w:rPr>
                <w:b/>
              </w:rPr>
              <w:t xml:space="preserve">Stage</w:t>
            </w:r>
          </w:p>
        </w:tc>
        <w:tc>
          <w:tcPr>
            <w:tcW w:w="3116" w:type="dxa"/>
            <w:shd w:val="clear" w:fill="E7EAF2"/>
            <w:vAlign w:val="top"/>
          </w:tcPr>
          <w:p>
            <w:r>
              <w:rPr>
                <w:b/>
              </w:rPr>
              <w:t xml:space="preserve">Trigger</w:t>
            </w:r>
          </w:p>
        </w:tc>
        <w:tc>
          <w:tcPr>
            <w:tcW w:w="3116" w:type="dxa"/>
            <w:shd w:val="clear" w:fill="E7EAF2"/>
            <w:vAlign w:val="top"/>
          </w:tcPr>
          <w:p>
            <w:r>
              <w:rPr>
                <w:b/>
              </w:rPr>
              <w:t xml:space="preserve">Action</w:t>
            </w:r>
          </w:p>
        </w:tc>
      </w:tr>
      <w:tr>
        <w:tc>
          <w:tcPr>
            <w:tcW w:w="3116" w:type="dxa"/>
            <w:vAlign w:val="top"/>
          </w:tcPr>
          <w:p>
            <w:r>
              <w:t xml:space="preserve">1 to 2</w:t>
            </w:r>
          </w:p>
        </w:tc>
        <w:tc>
          <w:tcPr>
            <w:tcW w:w="3116" w:type="dxa"/>
            <w:vAlign w:val="top"/>
          </w:tcPr>
          <w:p>
            <w:r>
              <w:t xml:space="preserve">Unexpected authentication, Key Vault access or proxy call during observation</w:t>
            </w:r>
          </w:p>
        </w:tc>
        <w:tc>
          <w:tcPr>
            <w:tcW w:w="3116" w:type="dxa"/>
            <w:vAlign w:val="top"/>
          </w:tcPr>
          <w:p>
            <w:r>
              <w:t xml:space="preserve">Re-enable the account, restore the licence, republish the endpoint. Fully reversible</w:t>
            </w:r>
          </w:p>
        </w:tc>
      </w:tr>
      <w:tr>
        <w:tc>
          <w:tcPr>
            <w:tcW w:w="3116" w:type="dxa"/>
            <w:vAlign w:val="top"/>
          </w:tcPr>
          <w:p>
            <w:r>
              <w:t xml:space="preserve">3</w:t>
            </w:r>
          </w:p>
        </w:tc>
        <w:tc>
          <w:tcPr>
            <w:tcW w:w="3116" w:type="dxa"/>
            <w:vAlign w:val="top"/>
          </w:tcPr>
          <w:p>
            <w:r>
              <w:t xml:space="preserve">Wrong component renamed or reassigned</w:t>
            </w:r>
          </w:p>
        </w:tc>
        <w:tc>
          <w:tcPr>
            <w:tcW w:w="3116" w:type="dxa"/>
            <w:vAlign w:val="top"/>
          </w:tcPr>
          <w:p>
            <w:r>
              <w:t xml:space="preserve">Rename back. No data lost at this stage</w:t>
            </w:r>
          </w:p>
        </w:tc>
      </w:tr>
      <w:tr>
        <w:tc>
          <w:tcPr>
            <w:tcW w:w="3116" w:type="dxa"/>
            <w:vAlign w:val="top"/>
          </w:tcPr>
          <w:p>
            <w:r>
              <w:t xml:space="preserve">4 onward</w:t>
            </w:r>
          </w:p>
        </w:tc>
        <w:tc>
          <w:tcPr>
            <w:tcW w:w="3116" w:type="dxa"/>
            <w:vAlign w:val="top"/>
          </w:tcPr>
          <w:p>
            <w:r>
              <w:t xml:space="preserve">Any AVD SOE reports a missing dependency</w:t>
            </w:r>
          </w:p>
        </w:tc>
        <w:tc>
          <w:tcPr>
            <w:tcW w:w="3116" w:type="dxa"/>
            <w:vAlign w:val="top"/>
          </w:tcPr>
          <w:p>
            <w:r>
              <w:t xml:space="preserve">Not a restoration: rebuild from the design documents. This is why Stages 1 to 3 front-load everything reversible</w:t>
            </w:r>
          </w:p>
        </w:tc>
      </w:tr>
      <w:tr>
        <w:tc>
          <w:tcPr>
            <w:tcW w:w="3116" w:type="dxa"/>
            <w:vAlign w:val="top"/>
          </w:tcPr>
          <w:p>
            <w:r>
              <w:t xml:space="preserve">5 (Key Vault only)</w:t>
            </w:r>
          </w:p>
        </w:tc>
        <w:tc>
          <w:tcPr>
            <w:tcW w:w="3116" w:type="dxa"/>
            <w:vAlign w:val="top"/>
          </w:tcPr>
          <w:p>
            <w:r>
              <w:t xml:space="preserve">Vault deleted in error</w:t>
            </w:r>
          </w:p>
        </w:tc>
        <w:tc>
          <w:tcPr>
            <w:tcW w:w="3116" w:type="dxa"/>
            <w:vAlign w:val="top"/>
          </w:tcPr>
          <w:p>
            <w:r>
              <w:t xml:space="preserve">Recoverable for 90 days under soft-delete and purge protection. This is a safety net, not a rollback plan</w:t>
            </w:r>
          </w:p>
        </w:tc>
      </w:tr>
    </w:tbl>
    <w:p>
      <w:pPr>
        <w:spacing w:after="160"/>
      </w:pPr>
      <w:r>
        <w:t xml:space="preserve"/>
      </w:r>
    </w:p>
    <w:p>
      <w:pPr>
        <w:pStyle w:val="Heading1"/>
      </w:pPr>
      <w:r>
        <w:t xml:space="preserve">Evidence and close-out</w:t>
      </w:r>
    </w:p>
    <w:p>
      <w:pPr>
        <w:ind w:left="360" w:hanging="360"/>
        <w:spacing w:after="60"/>
      </w:pPr>
      <w:r>
        <w:t xml:space="preserve">•  Export and file Key Vault access logs, the sign-in data for the six enforced CA-APM-KioskPB-* policies, Conditional Access report-only data and Intune device records before any component holding them is deleted. No kiosk account sign-in or audit logs exist, since no accounts were created.</w:t>
      </w:r>
    </w:p>
    <w:p>
      <w:pPr>
        <w:ind w:left="360" w:hanging="360"/>
        <w:spacing w:after="60"/>
      </w:pPr>
      <w:r>
        <w:t xml:space="preserve">•  DEWR notified within 5 days of this material change (removing a tenant-scoped domain and an internet-facing endpoint), on approval and again on completion.</w:t>
      </w:r>
    </w:p>
    <w:p>
      <w:pPr>
        <w:ind w:left="360" w:hanging="360"/>
        <w:spacing w:after="60"/>
      </w:pPr>
      <w:r>
        <w:t xml:space="preserve">•  Statement of Applicability updated: remove controls for the superseded components, add the Participant Kiosk controls.</w:t>
      </w:r>
    </w:p>
    <w:p>
      <w:pPr>
        <w:ind w:left="360" w:hanging="360"/>
        <w:spacing w:after="60"/>
      </w:pPr>
      <w:r>
        <w:t xml:space="preserve">•  Each disposition above raised in the Clew register with an owner and target date.</w:t>
      </w:r>
    </w:p>
    <w:p>
      <w:pPr>
        <w:ind w:left="360" w:hanging="360"/>
        <w:spacing w:after="60"/>
      </w:pPr>
      <w:r>
        <w:t xml:space="preserve">•  Change record updated with outcome, and confirmation that every retained component in §5 is signed off by its receiving design.</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1"/>
        <w:lang w:val="en-AU"/>
      </w:rPr>
    </w:rPrDefault>
  </w:docDefaults>
  <w:style w:type="paragraph" w:default="1" w:styleId="Normal">
    <w:name w:val="Normal"/>
    <w:pPr>
      <w:spacing w:after="120" w:line="276" w:lineRule="auto"/>
    </w:pPr>
  </w:style>
  <w:style w:type="paragraph" w:styleId="Title">
    <w:name w:val="Title"/>
    <w:basedOn w:val="Normal"/>
    <w:pPr>
      <w:spacing w:after="80"/>
    </w:pPr>
    <w:rPr>
      <w:rFonts w:ascii="Calibri" w:hAnsi="Calibri"/>
      <w:b/>
      <w:color w:val="1F2D58"/>
      <w:sz w:val="40"/>
    </w:rPr>
  </w:style>
  <w:style w:type="paragraph" w:styleId="Heading1">
    <w:name w:val="heading 1"/>
    <w:basedOn w:val="Normal"/>
    <w:pPr>
      <w:spacing w:before="320" w:after="120"/>
      <w:pBdr>
        <w:bottom w:val="single" w:sz="6" w:space="4" w:color="1F2D58"/>
      </w:pBdr>
    </w:pPr>
    <w:rPr>
      <w:b/>
      <w:color w:val="1F2D58"/>
      <w:sz w:val="27"/>
    </w:rPr>
  </w:style>
  <w:style w:type="paragraph" w:styleId="Heading2">
    <w:name w:val="heading 2"/>
    <w:basedOn w:val="Normal"/>
    <w:pPr>
      <w:spacing w:before="240" w:after="100"/>
    </w:pPr>
    <w:rPr>
      <w:b/>
      <w:color w:val="1F2D58"/>
      <w:sz w:val="23"/>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APM Change Request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Change Request - Job Seeker Kiosk Decommissioning</dc:title>
  <dc:creator>APM Digital</dc:creator>
</cp:coreProperties>
</file>