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0"/>
      </w:pPr>
      <w:r>
        <w:drawing>
          <wp:inline distT="0" distB="0" distL="0" distR="0">
            <wp:extent cx="1463040" cy="919832"/>
            <wp:docPr id="1" name="Picture1"/>
            <a:graphic xmlns:a="http://schemas.openxmlformats.org/drawingml/2006/main">
              <a:graphicData uri="http://schemas.openxmlformats.org/drawingml/2006/picture">
                <pic:pic xmlns:pic="http://schemas.openxmlformats.org/drawingml/2006/picture">
                  <pic:nvPicPr>
                    <pic:cNvPr id="1" name="Picture1"/>
                    <pic:cNvPicPr/>
                  </pic:nvPicPr>
                  <pic:blipFill>
                    <a:blip r:embed="rIdLogo"/>
                    <a:stretch>
                      <a:fillRect/>
                    </a:stretch>
                  </pic:blipFill>
                  <pic:spPr>
                    <a:xfrm>
                      <a:off x="0" y="0"/>
                      <a:ext cx="1463040" cy="919832"/>
                    </a:xfrm>
                    <a:prstGeom prst="rect">
                      <a:avLst/>
                    </a:prstGeom>
                  </pic:spPr>
                </pic:pic>
              </a:graphicData>
            </a:graphic>
          </wp:inline>
        </w:drawing>
      </w:r>
    </w:p>
    <w:p>
      <w:pPr>
        <w:spacing w:before="0" w:after="120"/>
      </w:pPr>
      <w:r>
        <w:rPr>
          <w:b/>
          <w:color w:val="F89728"/>
          <w:sz w:val="22"/>
          <w:szCs w:val="22"/>
          <w:rFonts w:ascii="Poppins" w:hAnsi="Poppins"/>
          <w:spacing w:val="60"/>
        </w:rPr>
        <w:t xml:space="preserve">DETAILED DESIGN DOCUMENT</w:t>
      </w:r>
    </w:p>
    <w:p>
      <w:pPr>
        <w:spacing w:before="0" w:after="120"/>
      </w:pPr>
      <w:r>
        <w:rPr>
          <w:b/>
          <w:color w:val="1F2D58"/>
          <w:sz w:val="72"/>
          <w:szCs w:val="72"/>
          <w:rFonts w:ascii="Poppins" w:hAnsi="Poppins"/>
        </w:rPr>
        <w:t xml:space="preserve">Project Name</w:t>
      </w:r>
    </w:p>
    <w:p>
      <w:pPr>
        <w:spacing w:before="0" w:after="600"/>
      </w:pPr>
      <w:r>
        <w:rPr>
          <w:color w:val="8A90A5"/>
          <w:sz w:val="26"/>
          <w:szCs w:val="26"/>
          <w:rFonts w:ascii="Mulish" w:hAnsi="Mulish"/>
        </w:rPr>
        <w:t xml:space="preserve">One-line description of the solution this design delivers.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Document owner</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Head of Digital Transformation &amp; Architecture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Program</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Program name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Division / Unit</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Division or unit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Status</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Draft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Version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Product ID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Classification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FOR INTERNAL USE ONLY — Commercial in confidence</w:t>
            </w:r>
          </w:p>
        </w:tc>
      </w:tr>
    </w:tbl>
    <w:p>
      <w:pPr>
        <w:spacing w:before="0" w:after="120"/>
      </w:pPr>
    </w:p>
    <w:p>
      <w:pPr>
        <w:spacing w:before="0" w:after="0"/>
      </w:pPr>
      <w:r>
        <w:rPr>
          <w:color w:val="8A90A5"/>
          <w:sz w:val="19"/>
          <w:szCs w:val="19"/>
          <w:rFonts w:ascii="Mulish" w:hAnsi="Mulish"/>
        </w:rPr>
        <w:t xml:space="preserve">© APM</w:t>
      </w:r>
    </w:p>
    <w:p>
      <w:r>
        <w:br w:type="page"/>
      </w:r>
    </w:p>
    <w:p>
      <w:pPr>
        <w:pStyle w:val="Heading1"/>
        <w:spacing w:before="360" w:after="120"/>
      </w:pPr>
      <w:r>
        <w:rPr>
          <w:b/>
          <w:color w:val="1F2D58"/>
          <w:sz w:val="32"/>
          <w:szCs w:val="32"/>
          <w:rFonts w:ascii="Poppins" w:hAnsi="Poppins"/>
        </w:rPr>
        <w:t xml:space="preserve">Document control</w:t>
      </w:r>
    </w:p>
    <w:p>
      <w:pPr>
        <w:pStyle w:val="Heading2"/>
        <w:spacing w:before="240" w:after="80"/>
      </w:pPr>
      <w:r>
        <w:rPr>
          <w:b/>
          <w:color w:val="1F2D58"/>
          <w:sz w:val="24"/>
          <w:szCs w:val="24"/>
          <w:rFonts w:ascii="Poppins" w:hAnsi="Poppins"/>
        </w:rPr>
        <w:t xml:space="preserve">Version history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Author</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changes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Author name, role</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Initial draft for consultation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Consultation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everyone consulted during the design — architecture and security reviewers, platform owners, the business stakeholders who validated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Position / role</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Position title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References and derivation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documents this design draws on or must be read with: the HLD, SoW, security standards, related DDDs.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Document title</w:t>
            </w:r>
          </w:p>
        </w:tc>
        <w:tc>
          <w:tcPr>
            <w:tcW w:w="4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Reference location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V1.0</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Related document title</w:t>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SharePoint / repository path</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Approval</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 / group</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Action</w:t>
            </w:r>
          </w:p>
        </w:tc>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Signature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Design Authority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Approval</w:t>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Review</w:t>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Confidentiality &amp; disclaimer</w:t>
      </w:r>
    </w:p>
    <w:p>
      <w:pPr>
        <w:spacing w:before="0" w:after="120"/>
      </w:pPr>
      <w:r>
        <w:rPr>
          <w:color w:val="2A3040"/>
          <w:sz w:val="21"/>
          <w:szCs w:val="21"/>
          <w:rFonts w:ascii="Mulish" w:hAnsi="Mulish"/>
        </w:rPr>
        <w:t xml:space="preserve">This document is provided by Advanced Personnel Management International Pty Ltd and / or its related entities (APM) on a confidential basis. It does not constitute an offer capable of acceptance, and no agreement binding APM or its related companies is intended or proposed unless and until agreed in writing in a formal agreement. Photographs used in this document are for illustration only. Communications regarding this document should be forwarded to the Head of Digital Transformation &amp; Architecture.</w:t>
      </w:r>
    </w:p>
    <w:p>
      <w:r>
        <w:br w:type="page"/>
      </w:r>
    </w:p>
    <w:p>
      <w:pPr>
        <w:pStyle w:val="Heading1"/>
        <w:spacing w:before="360" w:after="120"/>
      </w:pPr>
      <w:r>
        <w:rPr>
          <w:b/>
          <w:color w:val="1F2D58"/>
          <w:sz w:val="32"/>
          <w:szCs w:val="32"/>
          <w:rFonts w:ascii="Poppins" w:hAnsi="Poppins"/>
        </w:rPr>
        <w:t xml:space="preserve">Contents</w:t>
      </w:r>
    </w:p>
    <w:p>
      <w:r>
        <w:fldChar w:fldCharType="begin" w:dirty="true"/>
      </w:r>
      <w:r>
        <w:instrText xml:space="preserve"> TOC \o "1-2" \h \z \u </w:instrText>
      </w:r>
      <w:r>
        <w:fldChar w:fldCharType="separate"/>
      </w:r>
      <w:r>
        <w:rPr>
          <w:i/>
          <w:color w:val="8A90A5"/>
          <w:sz w:val="21"/>
          <w:szCs w:val="21"/>
          <w:rFonts w:ascii="Mulish" w:hAnsi="Mulish"/>
        </w:rPr>
        <w:t xml:space="preserve">Right-click here and choose "Update Field" to build the table of contents.</w:t>
      </w:r>
      <w:r>
        <w:fldChar w:fldCharType="end"/>
      </w:r>
    </w:p>
    <w:p>
      <w:r>
        <w:br w:type="page"/>
      </w:r>
    </w:p>
    <w:p>
      <w:pPr>
        <w:pStyle w:val="Heading1"/>
        <w:spacing w:before="360" w:after="120"/>
      </w:pPr>
      <w:r>
        <w:rPr>
          <w:b/>
          <w:color w:val="F89728"/>
          <w:sz w:val="32"/>
          <w:szCs w:val="32"/>
          <w:rFonts w:ascii="Poppins" w:hAnsi="Poppins"/>
        </w:rPr>
        <w:t xml:space="preserve">1.  </w:t>
      </w:r>
      <w:r>
        <w:rPr>
          <w:b/>
          <w:color w:val="1F2D58"/>
          <w:sz w:val="32"/>
          <w:szCs w:val="32"/>
          <w:rFonts w:ascii="Poppins" w:hAnsi="Poppins"/>
        </w:rPr>
        <w:t xml:space="preserve">Introduction</w:t>
      </w:r>
    </w:p>
    <w:p>
      <w:pPr>
        <w:pStyle w:val="Heading2"/>
        <w:spacing w:before="240" w:after="80"/>
      </w:pPr>
      <w:r>
        <w:rPr>
          <w:b/>
          <w:color w:val="1F2D58"/>
          <w:sz w:val="24"/>
          <w:szCs w:val="24"/>
          <w:rFonts w:ascii="Poppins" w:hAnsi="Poppins"/>
        </w:rPr>
        <w:t xml:space="preserve">1.1 Purpose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3–4 sentences: what solution this document designs, what the document covers (and what it defers to other documents), and its relationship to the HLD. Write in present tense; the design is a statement of fact, not a proposal.</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This document provides the detailed technical design for the Participant Kiosk solution: a locked-down Windows 11 device build giving participants supervised access to Microsoft 365 web applications at APM sites. It records the agreed architecture, configuration baselines and design decisions, and is the reference for build, test and operational handover. High-level context and business justification are covered in the corresponding High Level Design; this document does not repeat them.</w:t>
      </w:r>
    </w:p>
    <w:p>
      <w:pPr>
        <w:pStyle w:val="Heading2"/>
        <w:spacing w:before="240" w:after="80"/>
      </w:pPr>
      <w:r>
        <w:rPr>
          <w:b/>
          <w:color w:val="1F2D58"/>
          <w:sz w:val="24"/>
          <w:szCs w:val="24"/>
          <w:rFonts w:ascii="Poppins" w:hAnsi="Poppins"/>
        </w:rPr>
        <w:t xml:space="preserve">1.2 Audience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Audience</w:t>
            </w:r>
          </w:p>
        </w:tc>
        <w:tc>
          <w:tcPr>
            <w:tcW w:w="5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Interest in this document</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Architecture &amp; design authority</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Review and approval of the design</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Control alignment and risk acceptance</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Build &amp; operations teams</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Implementation and ongoing support</w:t>
            </w:r>
          </w:p>
        </w:tc>
      </w:tr>
      <w:tr>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management</w:t>
            </w:r>
          </w:p>
        </w:tc>
        <w:tc>
          <w:tcPr>
            <w:tcW w:w="5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Support model, monitoring and escalation</w:t>
            </w:r>
          </w:p>
        </w:tc>
      </w:tr>
    </w:tbl>
    <w:p>
      <w:pPr>
        <w:spacing w:before="0" w:after="120"/>
      </w:pPr>
    </w:p>
    <w:p>
      <w:pPr>
        <w:pStyle w:val="Heading1"/>
        <w:spacing w:before="360" w:after="120"/>
      </w:pPr>
      <w:r>
        <w:rPr>
          <w:b/>
          <w:color w:val="F89728"/>
          <w:sz w:val="32"/>
          <w:szCs w:val="32"/>
          <w:rFonts w:ascii="Poppins" w:hAnsi="Poppins"/>
        </w:rPr>
        <w:t xml:space="preserve">2.  </w:t>
      </w:r>
      <w:r>
        <w:rPr>
          <w:b/>
          <w:color w:val="1F2D58"/>
          <w:sz w:val="32"/>
          <w:szCs w:val="32"/>
          <w:rFonts w:ascii="Poppins" w:hAnsi="Poppins"/>
        </w:rPr>
        <w:t xml:space="preserve">Overview</w:t>
      </w:r>
    </w:p>
    <w:p>
      <w:pPr>
        <w:pStyle w:val="Heading2"/>
        <w:spacing w:before="240" w:after="80"/>
      </w:pPr>
      <w:r>
        <w:rPr>
          <w:b/>
          <w:color w:val="1F2D58"/>
          <w:sz w:val="24"/>
          <w:szCs w:val="24"/>
          <w:rFonts w:ascii="Poppins" w:hAnsi="Poppins"/>
        </w:rPr>
        <w:t xml:space="preserve">2.1 Scope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bullet what this design delivers and — just as important — what it explicitly does not. An empty out-of-scope list is a red flag in review.</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 scope</w:t>
            </w:r>
          </w:p>
        </w:tc>
        <w:tc>
          <w:tcPr>
            <w:tcW w:w="465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Out of scope</w:t>
            </w:r>
          </w:p>
        </w:tc>
      </w:tr>
      <w:tr>
        <w:tc>
          <w:tcPr>
            <w:tcW w:w="4650" w:type="dxa"/>
            <w:tcMar>
              <w:top w:w="80" w:type="dxa"/>
              <w:left w:w="120" w:type="dxa"/>
              <w:bottom w:w="80" w:type="dxa"/>
              <w:right w:w="120" w:type="dxa"/>
            </w:tcMar>
            <w:vAlign w:val="center"/>
          </w:tcPr>
          <w:p>
            <w:pPr>
              <w:spacing w:before="0" w:after="40"/>
            </w:pPr>
            <w:r>
              <w:rPr>
                <w:color w:val="2A3040"/>
                <w:sz w:val="21"/>
                <w:szCs w:val="21"/>
                <w:rFonts w:ascii="Mulish" w:hAnsi="Mulish"/>
              </w:rPr>
              <w:t xml:space="preserve">• Windows 11 device build and kiosk configuration</w:t>
            </w:r>
          </w:p>
          <w:p>
            <w:pPr>
              <w:spacing w:before="0" w:after="40"/>
            </w:pPr>
            <w:r>
              <w:rPr>
                <w:color w:val="2A3040"/>
                <w:sz w:val="21"/>
                <w:szCs w:val="21"/>
                <w:rFonts w:ascii="Mulish" w:hAnsi="Mulish"/>
              </w:rPr>
              <w:t xml:space="preserve">• Conditional Access policy set for kiosk identities</w:t>
            </w:r>
          </w:p>
          <w:p>
            <w:pPr>
              <w:spacing w:before="0" w:after="40"/>
            </w:pPr>
            <w:r>
              <w:rPr>
                <w:color w:val="2A3040"/>
                <w:sz w:val="21"/>
                <w:szCs w:val="21"/>
                <w:rFonts w:ascii="Mulish" w:hAnsi="Mulish"/>
              </w:rPr>
              <w:t xml:space="preserve">• Intune configuration profiles and compliance policies</w:t>
            </w:r>
          </w:p>
          <w:p>
            <w:pPr>
              <w:spacing w:before="0" w:after="0"/>
            </w:pPr>
            <w:r>
              <w:rPr>
                <w:color w:val="2A3040"/>
                <w:sz w:val="21"/>
                <w:szCs w:val="21"/>
                <w:rFonts w:ascii="Mulish" w:hAnsi="Mulish"/>
              </w:rPr>
              <w:t xml:space="preserve">• Device provisioning and enrolment process</w:t>
            </w:r>
          </w:p>
        </w:tc>
        <w:tc>
          <w:tcPr>
            <w:tcW w:w="4650" w:type="dxa"/>
            <w:tcMar>
              <w:top w:w="80" w:type="dxa"/>
              <w:left w:w="120" w:type="dxa"/>
              <w:bottom w:w="80" w:type="dxa"/>
              <w:right w:w="120" w:type="dxa"/>
            </w:tcMar>
            <w:vAlign w:val="center"/>
          </w:tcPr>
          <w:p>
            <w:pPr>
              <w:spacing w:before="0" w:after="40"/>
            </w:pPr>
            <w:r>
              <w:rPr>
                <w:color w:val="2A3040"/>
                <w:sz w:val="21"/>
                <w:szCs w:val="21"/>
                <w:rFonts w:ascii="Mulish" w:hAnsi="Mulish"/>
              </w:rPr>
              <w:t xml:space="preserve">• Site network cabling and switching (network programme)</w:t>
            </w:r>
          </w:p>
          <w:p>
            <w:pPr>
              <w:spacing w:before="0" w:after="40"/>
            </w:pPr>
            <w:r>
              <w:rPr>
                <w:color w:val="2A3040"/>
                <w:sz w:val="21"/>
                <w:szCs w:val="21"/>
                <w:rFonts w:ascii="Mulish" w:hAnsi="Mulish"/>
              </w:rPr>
              <w:t xml:space="preserve">• Licensing procurement (handled by reseller)</w:t>
            </w:r>
          </w:p>
          <w:p>
            <w:pPr>
              <w:spacing w:before="0" w:after="0"/>
            </w:pPr>
            <w:r>
              <w:rPr>
                <w:color w:val="2A3040"/>
                <w:sz w:val="21"/>
                <w:szCs w:val="21"/>
                <w:rFonts w:ascii="Mulish" w:hAnsi="Mulish"/>
              </w:rPr>
              <w:t xml:space="preserve">• End-user support model (service management design)</w:t>
            </w:r>
          </w:p>
        </w:tc>
      </w:tr>
    </w:tbl>
    <w:p>
      <w:pPr>
        <w:spacing w:before="0" w:after="120"/>
      </w:pPr>
    </w:p>
    <w:p>
      <w:pPr>
        <w:pStyle w:val="Heading2"/>
        <w:spacing w:before="240" w:after="80"/>
      </w:pPr>
      <w:r>
        <w:rPr>
          <w:b/>
          <w:color w:val="1F2D58"/>
          <w:sz w:val="24"/>
          <w:szCs w:val="24"/>
          <w:rFonts w:ascii="Poppins" w:hAnsi="Poppins"/>
        </w:rPr>
        <w:t xml:space="preserve">2.2 Guiding principles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principles that shaped this design. Each should be checkable — a reviewer can ask "does the design honour this?"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Modern management only — devices are Entra joined and Intune managed; no Active Directory dependency. Least privilege — no standing administrative access; elevation is time-bound and audited. Compliance by design — controls align to RFFR and the ASD ISM. Reuse before build — enterprise platform patterns are used unless a documented gap exists.</w:t>
      </w:r>
    </w:p>
    <w:p>
      <w:pPr>
        <w:pStyle w:val="Heading2"/>
        <w:spacing w:before="240" w:after="80"/>
      </w:pPr>
      <w:r>
        <w:rPr>
          <w:b/>
          <w:color w:val="1F2D58"/>
          <w:sz w:val="24"/>
          <w:szCs w:val="24"/>
          <w:rFonts w:ascii="Poppins" w:hAnsi="Poppins"/>
        </w:rPr>
        <w:t xml:space="preserve">2.3 Assumptions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what you are relying on being true. If an assumption fails, the design changes — so each one should be testable and owned.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5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Assumption</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 if false</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A-01</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Required licensing (per-device F3 or equivalent) is available before pilot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Provisioning blocked; pilot slips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A-02</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network (VLAN, SSID, firewall path) is delivered by the network programme before device deployment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cannot reach cloud services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2.4 Dependencies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Dependency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D-01</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Code-signing certificate issued for device-side scripts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D-02</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design approved and change window scheduled</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lead</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3.  </w:t>
      </w:r>
      <w:r>
        <w:rPr>
          <w:b/>
          <w:color w:val="1F2D58"/>
          <w:sz w:val="32"/>
          <w:szCs w:val="32"/>
          <w:rFonts w:ascii="Poppins" w:hAnsi="Poppins"/>
        </w:rPr>
        <w:t xml:space="preserve">Risks, issues &amp; design decisions</w:t>
      </w:r>
    </w:p>
    <w:p>
      <w:pPr>
        <w:pStyle w:val="Heading2"/>
        <w:spacing w:before="240" w:after="80"/>
      </w:pPr>
      <w:r>
        <w:rPr>
          <w:b/>
          <w:color w:val="1F2D58"/>
          <w:sz w:val="24"/>
          <w:szCs w:val="24"/>
          <w:rFonts w:ascii="Poppins" w:hAnsi="Poppins"/>
        </w:rPr>
        <w:t xml:space="preserve">3.1 Project risks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design-level risks only (delivery risks live in the project risk register). Severity and probability are High / Medium / Low; every risk needs a mitigation, even if the mitigation is "accept".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3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Risk 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Severity</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Probability</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RK-01</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Upstream network design not approved before build window opens</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Medium</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Escalate via design authority; sequence non-dependent work first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RK-02</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Shared kiosk identities exceed licensed concurrent sessions at peak</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Medium</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Low</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Cap powered devices per site; monitor sign-in telemetry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RK-03</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3.2 Issues and concerns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issues raised in architecture and security reviews, plus unusual requirements. Unresolved issues carry into the project risk register.</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5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description</w:t>
            </w:r>
          </w:p>
        </w:tc>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Resolution</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IS-01</w:t>
            </w:r>
          </w:p>
        </w:tc>
        <w:tc>
          <w:tcPr>
            <w:tcW w:w="5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Duplicate Conditional Access policies found in tenant with placeholder naming — consolidation required before kiosk policy set is enabled</w:t>
            </w:r>
          </w:p>
        </w:tc>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Consolidate and rename per CA naming standard; re-test in report-only</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IS-02</w:t>
            </w:r>
          </w:p>
        </w:tc>
        <w:tc>
          <w:tcPr>
            <w:tcW w:w="5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3.3 Design decisions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card per major decision. The rationale is the most-read cell in the document — write it so a future engineer understands the trade-off without attending the meeting.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DD-01 — Session data persistence approach</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APPROVED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 Persistent local profiles  2. Ephemeral session, wiped at sign-out  3. Roaming profiles (FSLogix)</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2 — ephemeral session, wiped at sign-out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are shared by the public; any persistence risks cross-user data exposure. Wipe-on-exit removes the data-spill class of risk entirely and simplifies privacy compliance. Trade-off accepted: users must save work externally before ending a session.</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authority forum, DD-MM-YYYY</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Decision record link / minutes</w:t>
            </w:r>
          </w:p>
        </w:tc>
      </w:tr>
    </w:tbl>
    <w:p>
      <w:pPr>
        <w:spacing w:before="0" w:after="120"/>
      </w:pP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DD-02 — Decision to be made</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PROPOSED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 Option B; Option C</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Why the preferred option was selected, including trade-offs accepted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4.  </w:t>
      </w:r>
      <w:r>
        <w:rPr>
          <w:b/>
          <w:color w:val="1F2D58"/>
          <w:sz w:val="32"/>
          <w:szCs w:val="32"/>
          <w:rFonts w:ascii="Poppins" w:hAnsi="Poppins"/>
        </w:rPr>
        <w:t xml:space="preserve">Business architecture</w:t>
      </w:r>
    </w:p>
    <w:p>
      <w:pPr>
        <w:pStyle w:val="Heading2"/>
        <w:spacing w:before="240" w:after="80"/>
      </w:pPr>
      <w:r>
        <w:rPr>
          <w:b/>
          <w:color w:val="1F2D58"/>
          <w:sz w:val="24"/>
          <w:szCs w:val="24"/>
          <w:rFonts w:ascii="Poppins" w:hAnsi="Poppins"/>
        </w:rPr>
        <w:t xml:space="preserve">4.1 Business reference architecture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where this solution sits in APM’s business capability landscape — which capabilities it enables or changes. One diagram plus a short paragraph is enough.</w:t>
      </w:r>
    </w:p>
    <w:p>
      <w:pPr>
        <w:spacing w:before="0" w:after="40"/>
      </w:pPr>
      <w:r>
        <w:drawing>
          <wp:inline distT="0" distB="0" distL="0" distR="0">
            <wp:extent cx="5760720" cy="3394495"/>
            <wp:docPr id="2" name="Picture2"/>
            <a:graphic xmlns:a="http://schemas.openxmlformats.org/drawingml/2006/main">
              <a:graphicData uri="http://schemas.openxmlformats.org/drawingml/2006/picture">
                <pic:pic xmlns:pic="http://schemas.openxmlformats.org/drawingml/2006/picture">
                  <pic:nvPicPr>
                    <pic:cNvPr id="2" name="Picture2"/>
                    <pic:cNvPicPr/>
                  </pic:nvPicPr>
                  <pic:blipFill>
                    <a:blip r:embed="rIdCap"/>
                    <a:stretch>
                      <a:fillRect/>
                    </a:stretch>
                  </pic:blipFill>
                  <pic:spPr>
                    <a:xfrm>
                      <a:off x="0" y="0"/>
                      <a:ext cx="5760720" cy="3394495"/>
                    </a:xfrm>
                    <a:prstGeom prst="rect">
                      <a:avLst/>
                    </a:prstGeom>
                  </pic:spPr>
                </pic:pic>
              </a:graphicData>
            </a:graphic>
          </wp:inline>
        </w:drawing>
      </w:r>
    </w:p>
    <w:p>
      <w:pPr>
        <w:spacing w:before="0" w:after="200"/>
      </w:pPr>
      <w:r>
        <w:rPr>
          <w:i/>
          <w:color w:val="8A90A5"/>
          <w:sz w:val="18"/>
          <w:szCs w:val="18"/>
          <w:rFonts w:ascii="Mulish" w:hAnsi="Mulish"/>
        </w:rPr>
        <w:t xml:space="preserve">Figure 4.1 — Example: business capability model with the affected capabilities highlighted. Replace with the view for your solution.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The solution supports the Employment Services capability group, specifically participant self-service. It changes how the "participant digital access" capability is delivered (from unmanaged shared PCs to a managed kiosk fleet) and introduces no new business capabilities.</w:t>
      </w:r>
    </w:p>
    <w:p>
      <w:pPr>
        <w:pStyle w:val="Heading2"/>
        <w:spacing w:before="240" w:after="80"/>
      </w:pPr>
      <w:r>
        <w:rPr>
          <w:b/>
          <w:color w:val="1F2D58"/>
          <w:sz w:val="24"/>
          <w:szCs w:val="24"/>
          <w:rFonts w:ascii="Poppins" w:hAnsi="Poppins"/>
        </w:rPr>
        <w:t xml:space="preserve">4.2 Business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requirements this design must satisfy, traced from the SoW or requirements register. Every requirement should be verifiable in test.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BR-01</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Participants can access approved web applications to create and export documents</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BR-02</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session data is removed before the next user signs in</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NFR-01</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Kiosks available during site operating hours (08:00–18:00 local)</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NFR-02</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Non-functional</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meets RFFR / ISM control requirements for the data it handles</w:t>
            </w:r>
          </w:p>
        </w:tc>
      </w:tr>
    </w:tbl>
    <w:p>
      <w:pPr>
        <w:spacing w:before="0" w:after="120"/>
      </w:pPr>
    </w:p>
    <w:p>
      <w:pPr>
        <w:pStyle w:val="Heading2"/>
        <w:spacing w:before="240" w:after="80"/>
      </w:pPr>
      <w:r>
        <w:rPr>
          <w:b/>
          <w:color w:val="1F2D58"/>
          <w:sz w:val="24"/>
          <w:szCs w:val="24"/>
          <w:rFonts w:ascii="Poppins" w:hAnsi="Poppins"/>
        </w:rPr>
        <w:t xml:space="preserve">4.3 Gap treatment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where the solution cannot fully meet a requirement, record the gap, its impact, and the agreed treatment (accept / mitigate / defer with date).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Gap</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w:t>
            </w:r>
          </w:p>
        </w:tc>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Treatment</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offline document editing not available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Participants need connectivity to work</w:t>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Accepted — sites provide managed connectivity</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authority</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5.  </w:t>
      </w:r>
      <w:r>
        <w:rPr>
          <w:b/>
          <w:color w:val="1F2D58"/>
          <w:sz w:val="32"/>
          <w:szCs w:val="32"/>
          <w:rFonts w:ascii="Poppins" w:hAnsi="Poppins"/>
        </w:rPr>
        <w:t xml:space="preserve">Application architecture</w:t>
      </w:r>
    </w:p>
    <w:p>
      <w:pPr>
        <w:pStyle w:val="Heading2"/>
        <w:spacing w:before="240" w:after="80"/>
      </w:pPr>
      <w:r>
        <w:rPr>
          <w:b/>
          <w:color w:val="1F2D58"/>
          <w:sz w:val="24"/>
          <w:szCs w:val="24"/>
          <w:rFonts w:ascii="Poppins" w:hAnsi="Poppins"/>
        </w:rPr>
        <w:t xml:space="preserve">5.1 System context diagram</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diagram showing the solution in the middle, every human and system actor around it, and what flows on each line. If a reviewer can’t reconstruct the solution’s boundaries from this diagram alone, it needs more detail.</w:t>
      </w:r>
    </w:p>
    <w:p>
      <w:pPr>
        <w:spacing w:before="120" w:after="200"/>
        <w:jc w:val="center"/>
        <w:pBdr>
          <w:top w:val="dashed" w:sz="6" w:color="C7CDE0"/>
          <w:bottom w:val="dashed" w:sz="6" w:color="C7CDE0"/>
          <w:left w:val="dashed" w:sz="6" w:color="C7CDE0"/>
          <w:right w:val="dashed" w:sz="6" w:color="C7CDE0"/>
        </w:pBdr>
      </w:pPr>
      <w:r>
        <w:rPr>
          <w:color w:val="8A90A5"/>
          <w:sz w:val="21"/>
          <w:szCs w:val="21"/>
          <w:rFonts w:ascii="Poppins" w:hAnsi="Poppins"/>
        </w:rPr>
        <w:t xml:space="preserve">Insert system context diagram here</w:t>
      </w:r>
    </w:p>
    <w:p>
      <w:pPr>
        <w:pStyle w:val="Heading2"/>
        <w:spacing w:before="240" w:after="80"/>
      </w:pPr>
      <w:r>
        <w:rPr>
          <w:b/>
          <w:color w:val="1F2D58"/>
          <w:sz w:val="24"/>
          <w:szCs w:val="24"/>
          <w:rFonts w:ascii="Poppins" w:hAnsi="Poppins"/>
        </w:rPr>
        <w:t xml:space="preserve">5.2 Solution component inventory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4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Function</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Edge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Locked-down browser shell for participant sessions</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Stable channel</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Client Connector</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Secure web gateway tunnel from device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Latest GA</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Intune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configuration, compliance and app deployment</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Entra ID</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Identity, Conditional Access, device registration</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5.3 Interface catalogue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every integration the solution has — one row per interface, each traceable to a line on the context diagram.</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 → destination</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 / protocol</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exchanged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IF-01</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 Zscaler ZIA</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TLS tunnel (Client Connector)</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web traffic; SSL-inspected per policy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IF-02</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Edge → Microsoft 365 web apps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HTTPS 443</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Authenticated session; documents in transit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IF-03</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 Intune / Entra ID</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HTTPS 443</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Enrolment, policy, compliance, sign-in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5.4 Interaction sequences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sequence diagrams for the flows that are hard to reason about in prose — sign-in, session start/end, failure paths. One per critical flow.</w:t>
      </w:r>
    </w:p>
    <w:p>
      <w:pPr>
        <w:spacing w:before="0" w:after="40"/>
      </w:pPr>
      <w:r>
        <w:drawing>
          <wp:inline distT="0" distB="0" distL="0" distR="0">
            <wp:extent cx="5760720" cy="4070909"/>
            <wp:docPr id="3" name="Picture3"/>
            <a:graphic xmlns:a="http://schemas.openxmlformats.org/drawingml/2006/main">
              <a:graphicData uri="http://schemas.openxmlformats.org/drawingml/2006/picture">
                <pic:pic xmlns:pic="http://schemas.openxmlformats.org/drawingml/2006/picture">
                  <pic:nvPicPr>
                    <pic:cNvPr id="3" name="Picture3"/>
                    <pic:cNvPicPr/>
                  </pic:nvPicPr>
                  <pic:blipFill>
                    <a:blip r:embed="rIdSeq"/>
                    <a:stretch>
                      <a:fillRect/>
                    </a:stretch>
                  </pic:blipFill>
                  <pic:spPr>
                    <a:xfrm>
                      <a:off x="0" y="0"/>
                      <a:ext cx="5760720" cy="4070909"/>
                    </a:xfrm>
                    <a:prstGeom prst="rect">
                      <a:avLst/>
                    </a:prstGeom>
                  </pic:spPr>
                </pic:pic>
              </a:graphicData>
            </a:graphic>
          </wp:inline>
        </w:drawing>
      </w:r>
    </w:p>
    <w:p>
      <w:pPr>
        <w:spacing w:before="0" w:after="200"/>
      </w:pPr>
      <w:r>
        <w:rPr>
          <w:i/>
          <w:color w:val="8A90A5"/>
          <w:sz w:val="18"/>
          <w:szCs w:val="18"/>
          <w:rFonts w:ascii="Mulish" w:hAnsi="Mulish"/>
        </w:rPr>
        <w:t xml:space="preserve">Figure 5.1 — Example: device / Zscaler / cloud interaction sequence. Replace with the critical flows for your solution.</w:t>
      </w:r>
    </w:p>
    <w:p>
      <w:pPr>
        <w:pStyle w:val="Heading2"/>
        <w:spacing w:before="240" w:after="80"/>
      </w:pPr>
      <w:r>
        <w:rPr>
          <w:b/>
          <w:color w:val="1F2D58"/>
          <w:sz w:val="24"/>
          <w:szCs w:val="24"/>
          <w:rFonts w:ascii="Poppins" w:hAnsi="Poppins"/>
        </w:rPr>
        <w:t xml:space="preserve">5.5 Environments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environments the solution runs in and how change flows between them. For device solutions this is usually deployment rings, not separate infrastructure.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 / ring</w:t>
            </w:r>
          </w:p>
        </w:tc>
        <w:tc>
          <w:tcPr>
            <w:tcW w:w="4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Membership</w:t>
            </w:r>
          </w:p>
        </w:tc>
      </w:tr>
      <w:tr>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Pilot</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Validate changes on real hardware before broad rollout</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2–3 devices per region</w:t>
            </w:r>
          </w:p>
        </w:tc>
      </w:tr>
      <w:tr>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remaining devices</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Full fleet</w:t>
            </w:r>
          </w:p>
        </w:tc>
      </w:tr>
      <w:tr>
        <w:tc>
          <w:tcPr>
            <w:tcW w:w="2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5.6 Administration &amp; access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who can administer what, via which roles. Show that segregation of duties and least privilege hold.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4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Access provided</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via</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Intune Administrator</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configuration and app deployment</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Entra role, PIM-activated</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Helpdesk operator</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Remote assistance, device restart</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Scoped Intune role</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6.  </w:t>
      </w:r>
      <w:r>
        <w:rPr>
          <w:b/>
          <w:color w:val="1F2D58"/>
          <w:sz w:val="32"/>
          <w:szCs w:val="32"/>
          <w:rFonts w:ascii="Poppins" w:hAnsi="Poppins"/>
        </w:rPr>
        <w:t xml:space="preserve">Technology architecture</w:t>
      </w:r>
    </w:p>
    <w:p>
      <w:pPr>
        <w:pStyle w:val="Heading2"/>
        <w:spacing w:before="240" w:after="80"/>
      </w:pPr>
      <w:r>
        <w:rPr>
          <w:b/>
          <w:color w:val="1F2D58"/>
          <w:sz w:val="24"/>
          <w:szCs w:val="24"/>
          <w:rFonts w:ascii="Poppins" w:hAnsi="Poppins"/>
        </w:rPr>
        <w:t xml:space="preserve">6.1 Technology component standards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enterprise platform standards this design builds on, and any deviation with its justification.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Concern</w:t>
            </w:r>
          </w:p>
        </w:tc>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Standard</w:t>
            </w:r>
          </w:p>
        </w:tc>
        <w:tc>
          <w:tcPr>
            <w:tcW w:w="3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Deviation in this design</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Identity</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Entra ID</w:t>
            </w:r>
          </w:p>
        </w:tc>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None</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management</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Intune</w:t>
            </w:r>
          </w:p>
        </w:tc>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None</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Secrets</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None</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Secure web gateway</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ZIA</w:t>
            </w:r>
          </w:p>
        </w:tc>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None</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6.2 Network &amp; infrastructure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network path end to end: VLANs/zones, SSIDs, firewall path, egress. The zone table must match the diagram exactly — reviewers check.</w:t>
      </w:r>
    </w:p>
    <w:p>
      <w:pPr>
        <w:spacing w:before="0" w:after="40"/>
      </w:pPr>
      <w:r>
        <w:drawing>
          <wp:inline distT="0" distB="0" distL="0" distR="0">
            <wp:extent cx="5760720" cy="3887681"/>
            <wp:docPr id="4" name="Picture4"/>
            <a:graphic xmlns:a="http://schemas.openxmlformats.org/drawingml/2006/main">
              <a:graphicData uri="http://schemas.openxmlformats.org/drawingml/2006/picture">
                <pic:pic xmlns:pic="http://schemas.openxmlformats.org/drawingml/2006/picture">
                  <pic:nvPicPr>
                    <pic:cNvPr id="4" name="Picture4"/>
                    <pic:cNvPicPr/>
                  </pic:nvPicPr>
                  <pic:blipFill>
                    <a:blip r:embed="rIdNet"/>
                    <a:stretch>
                      <a:fillRect/>
                    </a:stretch>
                  </pic:blipFill>
                  <pic:spPr>
                    <a:xfrm>
                      <a:off x="0" y="0"/>
                      <a:ext cx="5760720" cy="3887681"/>
                    </a:xfrm>
                    <a:prstGeom prst="rect">
                      <a:avLst/>
                    </a:prstGeom>
                  </pic:spPr>
                </pic:pic>
              </a:graphicData>
            </a:graphic>
          </wp:inline>
        </w:drawing>
      </w:r>
    </w:p>
    <w:p>
      <w:pPr>
        <w:spacing w:before="0" w:after="200"/>
      </w:pPr>
      <w:r>
        <w:rPr>
          <w:i/>
          <w:color w:val="8A90A5"/>
          <w:sz w:val="18"/>
          <w:szCs w:val="18"/>
          <w:rFonts w:ascii="Mulish" w:hAnsi="Mulish"/>
        </w:rPr>
        <w:t xml:space="preserve">Figure 6.1 — Example: site network logical diagram. Replace with the network view for your solution.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connect to a dedicated site VLAN via a hidden SSID. All egress traverses the site firewall to the secure web gateway; no lateral access to corporate VLANs is permitted.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VLAN</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IP range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Subnet</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Kiosk device VLAN</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73</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10.x.x.0/24</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/24</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6.3 Infrastructure specification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table per server / host pool / resource. For cloud-only device solutions, record the cloud resources (Key Vault, storage, automation) instead.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Resource name</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kv-kiosk-prod-ae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Type / platform</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Location / region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Australia East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Configuration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RBAC authorisation; private endpoint; purge protection on</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Dependencies</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Accessed by provisioning pipeline at device build</w:t>
            </w:r>
          </w:p>
        </w:tc>
      </w:tr>
    </w:tbl>
    <w:p>
      <w:pPr>
        <w:spacing w:before="0" w:after="120"/>
      </w:pPr>
    </w:p>
    <w:p>
      <w:pPr>
        <w:pStyle w:val="Heading2"/>
        <w:spacing w:before="240" w:after="80"/>
      </w:pPr>
      <w:r>
        <w:rPr>
          <w:b/>
          <w:color w:val="1F2D58"/>
          <w:sz w:val="24"/>
          <w:szCs w:val="24"/>
          <w:rFonts w:ascii="Poppins" w:hAnsi="Poppins"/>
        </w:rPr>
        <w:t xml:space="preserve">6.4 Firewall &amp; internet access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summarise the flows; the full rule set belongs in an appendix or linked workbook. Include the egress path and any SSL-inspection exemptions.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Destination</w:t>
            </w:r>
          </w:p>
        </w:tc>
        <w:tc>
          <w:tcPr>
            <w:tcW w:w="1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Port / protocol</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FW-01</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Kiosk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ZIA ranges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 80/TCP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Web gateway tunnel</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FW-02</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Kiosk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 Intune endpoints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Enrolment, policy, M365 services</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6.5 DNS configuration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DNS servers used, any conditional forwarders or split-horizon behaviour, and records the solution needs created.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Record / setting</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DNS servers (DHCP option)</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resolver pair</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 resolution for kiosk VLAN</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6.6 Software components &amp; licensing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Software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Licence</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11 Enterprise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Current LTSC/GA baseline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Per-device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Volume licensing</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apps (web)</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Per-user F3 (example)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Reseller</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7.  </w:t>
      </w:r>
      <w:r>
        <w:rPr>
          <w:b/>
          <w:color w:val="1F2D58"/>
          <w:sz w:val="32"/>
          <w:szCs w:val="32"/>
          <w:rFonts w:ascii="Poppins" w:hAnsi="Poppins"/>
        </w:rPr>
        <w:t xml:space="preserve">Information &amp; data architecture</w:t>
      </w:r>
    </w:p>
    <w:p>
      <w:pPr>
        <w:pStyle w:val="Heading2"/>
        <w:spacing w:before="240" w:after="80"/>
      </w:pPr>
      <w:r>
        <w:rPr>
          <w:b/>
          <w:color w:val="1F2D58"/>
          <w:sz w:val="24"/>
          <w:szCs w:val="24"/>
          <w:rFonts w:ascii="Poppins" w:hAnsi="Poppins"/>
        </w:rPr>
        <w:t xml:space="preserve">7.1 Information model</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information entities the solution creates, stores or transits; where each is mastered; and how it flows. For a kiosk-style solution the interesting answer is usually what is deliberately NOT stored.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Entity</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Mastered in</w:t>
            </w:r>
          </w:p>
        </w:tc>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Flow through this solution</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(user’s own account)</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Created/edited in web apps; never persisted on device</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telemetry</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Entra ID / Intune</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and compliance logs to tenant</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7.2 Information classification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component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Classification</w:t>
            </w:r>
          </w:p>
        </w:tc>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Storage location &amp; protection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User’s M365 storage; TLS in transit; wiped from device at session end</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credentials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 rotated automatically</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7.3 Analytics &amp; reporting</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operational reporting (fleet health, usage) and audit logging (who did what, exported where, kept how long).</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Sign-in and audit logs are retained in the tenant for 90 days and exported to the SIEM for 12-month retention. Fleet compliance is reported weekly from Intune; site usage is reported monthly from sign-in telemetry.</w:t>
      </w:r>
    </w:p>
    <w:p>
      <w:pPr>
        <w:pStyle w:val="Heading1"/>
        <w:spacing w:before="360" w:after="120"/>
      </w:pPr>
      <w:r>
        <w:rPr>
          <w:b/>
          <w:color w:val="F89728"/>
          <w:sz w:val="32"/>
          <w:szCs w:val="32"/>
          <w:rFonts w:ascii="Poppins" w:hAnsi="Poppins"/>
        </w:rPr>
        <w:t xml:space="preserve">8.  </w:t>
      </w:r>
      <w:r>
        <w:rPr>
          <w:b/>
          <w:color w:val="1F2D58"/>
          <w:sz w:val="32"/>
          <w:szCs w:val="32"/>
          <w:rFonts w:ascii="Poppins" w:hAnsi="Poppins"/>
        </w:rPr>
        <w:t xml:space="preserve">Cyber &amp; security architecture</w:t>
      </w:r>
    </w:p>
    <w:p>
      <w:pPr>
        <w:pStyle w:val="Heading2"/>
        <w:spacing w:before="240" w:after="80"/>
      </w:pPr>
      <w:r>
        <w:rPr>
          <w:b/>
          <w:color w:val="1F2D58"/>
          <w:sz w:val="24"/>
          <w:szCs w:val="24"/>
          <w:rFonts w:ascii="Poppins" w:hAnsi="Poppins"/>
        </w:rPr>
        <w:t xml:space="preserve">8.1 Security principles alignment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state compliance honestly — a "Partial" with a treatment plan passes review; an unexplained "Yes" does not.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Principle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Compliant</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Minimise the attack surface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Assigned Access limits shell to approved apps; all other executables blocked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 defence in depth</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identity, network and data-plane controls are independent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SEC-3</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Limit privileges to those required</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 standing admin; PIM elevation only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SEC-4</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Centralise authentication and audit</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auth via Entra ID; logs to SIEM</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SEC-5</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Protect data commensurate with sensitivity</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wipe; no local persistence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SEC-6</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Avoid outdated protocols and versions</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Legacy authentication blocked by CA</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SEC-7</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Partial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Gap and treatment</w:t>
            </w:r>
          </w:p>
        </w:tc>
      </w:tr>
    </w:tbl>
    <w:p>
      <w:pPr>
        <w:spacing w:before="0" w:after="120"/>
      </w:pPr>
    </w:p>
    <w:p>
      <w:pPr>
        <w:pStyle w:val="Heading2"/>
        <w:spacing w:before="240" w:after="80"/>
      </w:pPr>
      <w:r>
        <w:rPr>
          <w:b/>
          <w:color w:val="1F2D58"/>
          <w:sz w:val="24"/>
          <w:szCs w:val="24"/>
          <w:rFonts w:ascii="Poppins" w:hAnsi="Poppins"/>
        </w:rPr>
        <w:t xml:space="preserve">8.2 Identity &amp; access management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authentication and authorisation model end to end: identity types, Conditional Access approach, MFA posture, RBAC, segregation of duties.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Kiosk sessions use dedicated per-device identities bound to their device by Conditional Access; interactive MFA is replaced by device binding plus platform, protocol and risk controls. A default-deny policy blocks all cloud apps except the approved set. Administrative access uses separate identities with PIM-activated roles.</w:t>
      </w:r>
    </w:p>
    <w:p>
      <w:pPr>
        <w:pStyle w:val="Heading2"/>
        <w:spacing w:before="240" w:after="80"/>
      </w:pPr>
      <w:r>
        <w:rPr>
          <w:b/>
          <w:color w:val="1F2D58"/>
          <w:sz w:val="24"/>
          <w:szCs w:val="24"/>
          <w:rFonts w:ascii="Poppins" w:hAnsi="Poppins"/>
        </w:rPr>
        <w:t xml:space="preserve">8.3 Certificates, keys &amp; secrets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Item</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Stored in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Rotation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code-signing certificate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Annual</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 account credentials</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Automatic, per schedule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9.  </w:t>
      </w:r>
      <w:r>
        <w:rPr>
          <w:b/>
          <w:color w:val="1F2D58"/>
          <w:sz w:val="32"/>
          <w:szCs w:val="32"/>
          <w:rFonts w:ascii="Poppins" w:hAnsi="Poppins"/>
        </w:rPr>
        <w:t xml:space="preserve">Service availability &amp; disaster recovery</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tier the service, state the availability target in business terms, and describe recovery as a procedure someone could actually follow.</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Business service tier</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Tier 3: site amenity; outage degrades service but has manual workaround</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Availability target</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99.5% during site operating hours</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RTO / RPO</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RTO 1 business day (device replacement); RPO n/a — no data persisted</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 approach</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devices are stateless: recovery is re-provisioning via Autopilot/Intune; no backup or restore of devices is required</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Capacity &amp; scalability</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fleet sized at N devices/site; scale by enrolling additional devices, no infrastructure change</w:t>
            </w:r>
          </w:p>
        </w:tc>
      </w:tr>
    </w:tbl>
    <w:p>
      <w:pPr>
        <w:spacing w:before="0" w:after="120"/>
      </w:pPr>
    </w:p>
    <w:p>
      <w:pPr>
        <w:pStyle w:val="Heading1"/>
        <w:spacing w:before="360" w:after="120"/>
      </w:pPr>
      <w:r>
        <w:rPr>
          <w:b/>
          <w:color w:val="F89728"/>
          <w:sz w:val="32"/>
          <w:szCs w:val="32"/>
          <w:rFonts w:ascii="Poppins" w:hAnsi="Poppins"/>
        </w:rPr>
        <w:t xml:space="preserve">10.  </w:t>
      </w:r>
      <w:r>
        <w:rPr>
          <w:b/>
          <w:color w:val="1F2D58"/>
          <w:sz w:val="32"/>
          <w:szCs w:val="32"/>
          <w:rFonts w:ascii="Poppins" w:hAnsi="Poppins"/>
        </w:rPr>
        <w:t xml:space="preserve">Service management &amp; supportability</w:t>
      </w:r>
    </w:p>
    <w:p>
      <w:pPr>
        <w:pStyle w:val="Heading2"/>
        <w:spacing w:before="240" w:after="80"/>
      </w:pPr>
      <w:r>
        <w:rPr>
          <w:b/>
          <w:color w:val="1F2D58"/>
          <w:sz w:val="24"/>
          <w:szCs w:val="24"/>
          <w:rFonts w:ascii="Poppins" w:hAnsi="Poppins"/>
        </w:rPr>
        <w:t xml:space="preserve">10.1 Monitoring, logging &amp; alerting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Layer</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What is monitored</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Tooling</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Alert routing</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Enrolment state, compliance, storage health</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Intune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ServiceNow queue</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Identity</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failures, risk events, CA blocks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Entra ID / SIEM</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Security operations</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Tunnel state, gateway availability</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 network NMS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provider</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10.2 Backup &amp; recovery</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what is backed up, where, how often — and what is deliberately not backed up. Reference the restore test cadence.</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hold no data and are not backed up; recovery is re-provisioning. Configuration-as-source (Intune profiles, CA policies, scripts) is exported to the repository on change, giving point-in-time restore of the management plane.</w:t>
      </w:r>
    </w:p>
    <w:p>
      <w:pPr>
        <w:pStyle w:val="Heading2"/>
        <w:spacing w:before="240" w:after="80"/>
      </w:pPr>
      <w:r>
        <w:rPr>
          <w:b/>
          <w:color w:val="1F2D58"/>
          <w:sz w:val="24"/>
          <w:szCs w:val="24"/>
          <w:rFonts w:ascii="Poppins" w:hAnsi="Poppins"/>
        </w:rPr>
        <w:t xml:space="preserve">10.3 Updates &amp; patching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Cadence</w:t>
            </w:r>
          </w:p>
        </w:tc>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Ring / window</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quality updates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Monthly</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Pilot +0d, broad +7d</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Edge / apps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Vendor cadence</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Managed by Intune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10.4 Maintenance windows &amp; remote access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Maintenance occurs outside site hours (18:00–08:00 local). Remote support is attended-only via the approved remote-access tool; sessions are logged and require on-site consent.</w:t>
      </w:r>
    </w:p>
    <w:p>
      <w:r>
        <w:br w:type="page"/>
      </w:r>
    </w:p>
    <w:p>
      <w:pPr>
        <w:pStyle w:val="Heading1"/>
        <w:spacing w:before="360" w:after="120"/>
      </w:pPr>
      <w:r>
        <w:rPr>
          <w:b/>
          <w:color w:val="F89728"/>
          <w:sz w:val="32"/>
          <w:szCs w:val="32"/>
          <w:rFonts w:ascii="Poppins" w:hAnsi="Poppins"/>
        </w:rPr>
        <w:t xml:space="preserve">A.  </w:t>
      </w:r>
      <w:r>
        <w:rPr>
          <w:b/>
          <w:color w:val="1F2D58"/>
          <w:sz w:val="32"/>
          <w:szCs w:val="32"/>
          <w:rFonts w:ascii="Poppins" w:hAnsi="Poppins"/>
        </w:rPr>
        <w:t xml:space="preserve">Appendix A — Terms &amp; abbreviations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Term / abbreviation</w:t>
            </w:r>
          </w:p>
        </w:tc>
        <w:tc>
          <w:tcPr>
            <w:tcW w:w="6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Definition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Conditional Access (Microsoft Entra)</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DDD</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Detailed Design Document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Intune</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cloud device management service</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Information Security Manual (Australian Signals Directorate)</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Privileged Identity Management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RFFR</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Right Fit For Risk (DEWR accreditation framework)</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SOE</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Standard Operating Environment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ZIA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Internet Access</w:t>
            </w:r>
          </w:p>
        </w:tc>
      </w:tr>
    </w:tbl>
    <w:p>
      <w:pPr>
        <w:spacing w:before="0" w:after="120"/>
      </w:pPr>
    </w:p>
    <w:p>
      <w:pPr>
        <w:pStyle w:val="Heading1"/>
        <w:spacing w:before="360" w:after="120"/>
      </w:pPr>
      <w:r>
        <w:rPr>
          <w:b/>
          <w:color w:val="F89728"/>
          <w:sz w:val="32"/>
          <w:szCs w:val="32"/>
          <w:rFonts w:ascii="Poppins" w:hAnsi="Poppins"/>
        </w:rPr>
        <w:t xml:space="preserve">B.  </w:t>
      </w:r>
      <w:r>
        <w:rPr>
          <w:b/>
          <w:color w:val="1F2D58"/>
          <w:sz w:val="32"/>
          <w:szCs w:val="32"/>
          <w:rFonts w:ascii="Poppins" w:hAnsi="Poppins"/>
        </w:rPr>
        <w:t xml:space="preserve">Appendix B — Implementation considerations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sequencing constraints, cutover notes, and anything the build team must know that doesn’t belong in the body sections.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Build order: certificate issuance → management-plane configuration → pilot site (2 devices) → staged rollout by region. Conditional Access policies run report-only for two weeks before enforcement. Site cutover requires the old equipment removed the same day to avoid parallel unmanaged access.</w:t>
      </w:r>
    </w:p>
    <w:sectPr>
      <w:headerReference w:type="default" r:id="rIdHdr"/>
      <w:footerReference w:type="default" r:id="rIdFtr"/>
      <w:pgSz w:w="11906" w:h="16838"/>
      <w:pgMar w:top="1080" w:right="1080" w:bottom="1080" w:left="1080" w:header="480" w:footer="480" w:gutter="0"/>
    </w:sectPr>
  </w:body>
</w:document>
</file>

<file path=word/footer1.xml><?xml version="1.0" encoding="utf-8"?>
<w:ftr xmlns:w="http://schemas.openxmlformats.org/wordprocessingml/2006/main">
  <w:p>
    <w:pPr>
      <w:pBdr>
        <w:top w:val="single" w:sz="4" w:color="E3E6EE"/>
      </w:pBdr>
      <w:tabs>
        <w:tab w:val="center" w:pos="4875"/>
        <w:tab w:val="right" w:pos="9750"/>
      </w:tabs>
      <w:spacing w:before="60" w:after="0"/>
    </w:pPr>
    <w:r>
      <w:rPr>
        <w:color w:val="8A90A5"/>
        <w:sz w:val="16"/>
        <w:szCs w:val="16"/>
        <w:rFonts w:ascii="Mulish" w:hAnsi="Mulish"/>
      </w:rPr>
      <w:t xml:space="preserve">© APM — Commercial in confidence</w:t>
    </w:r>
    <w:r>
      <w:tab/>
    </w:r>
    <w:r>
      <w:rPr>
        <w:b/>
        <w:color w:val="F89728"/>
        <w:sz w:val="16"/>
        <w:szCs w:val="16"/>
        <w:rFonts w:ascii="Mulish" w:hAnsi="Mulish"/>
        <w:spacing w:val="30"/>
      </w:rPr>
      <w:t xml:space="preserve">FOR INTERNAL USE ONLY</w:t>
    </w:r>
    <w:r>
      <w:tab/>
    </w:r>
    <w:r>
      <w:rPr>
        <w:color w:val="8A90A5"/>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color="E3E6EE"/>
      </w:pBdr>
      <w:tabs>
        <w:tab w:val="right" w:pos="9750"/>
      </w:tabs>
      <w:spacing w:after="60"/>
    </w:pPr>
    <w:r>
      <w:rPr>
        <w:b/>
        <w:color w:val="F89728"/>
        <w:sz w:val="20"/>
        <w:szCs w:val="20"/>
        <w:rFonts w:ascii="Poppins" w:hAnsi="Poppins"/>
      </w:rPr>
      <w:t xml:space="preserve">APM</w:t>
    </w:r>
    <w:r>
      <w:tab/>
    </w:r>
    <w:r>
      <w:rPr>
        <w:color w:val="8A90A5"/>
        <w:sz w:val="16"/>
        <w:szCs w:val="16"/>
        <w:rFonts w:ascii="Mulish" w:hAnsi="Mulish"/>
        <w:spacing w:val="30"/>
      </w:rPr>
      <w:t xml:space="preserve">DETAILED DESIGN DOCUMENT — PROJECT NAME</w:t>
    </w:r>
  </w:p>
</w:hdr>
</file>

<file path=word/styles.xml><?xml version="1.0" encoding="utf-8"?>
<w:styles xmlns:w="http://schemas.openxmlformats.org/wordprocessingml/2006/main">
  <w:docDefaults>
    <w:rPrDefault>
      <w:rPr>
        <w:rFonts w:ascii="Mulish" w:hAnsi="Mulish"/>
        <w:sz w:val="21"/>
        <w:szCs w:val="21"/>
        <w:color w:val="2A3040"/>
      </w:rPr>
    </w:rPrDefault>
    <w:pPrDefault>
      <w:pPr>
        <w:spacing w:after="120" w:line="300" w:lineRule="auto"/>
      </w:pPr>
    </w:pPrDefault>
  </w:docDefaults>
  <w:style w:type="paragraph" w:default="1" w:styleId="Normal">
    <w:name w:val="Normal"/>
  </w:style>
  <w:style w:type="paragraph" w:styleId="Heading1">
    <w:name w:val="heading 1"/>
    <w:basedOn w:val="Normal"/>
    <w:pPr>
      <w:keepNext/>
      <w:outlineLvl w:val="0"/>
      <w:spacing w:before="360" w:after="120"/>
    </w:pPr>
    <w:rPr>
      <w:rFonts w:ascii="Poppins" w:hAnsi="Poppins"/>
      <w:b/>
      <w:color w:val="1F2D58"/>
      <w:sz w:val="32"/>
    </w:rPr>
  </w:style>
  <w:style w:type="paragraph" w:styleId="Heading2">
    <w:name w:val="heading 2"/>
    <w:basedOn w:val="Normal"/>
    <w:pPr>
      <w:keepNext/>
      <w:outlineLvl w:val="1"/>
      <w:spacing w:before="240" w:after="80"/>
    </w:pPr>
    <w:rPr>
      <w:rFonts w:ascii="Poppins" w:hAnsi="Poppins"/>
      <w:b/>
      <w:color w:val="1F2D58"/>
      <w:sz w:val="24"/>
    </w:rPr>
  </w:style>
  <w:style w:type="character" w:styleId="Hyperlink">
    <w:name w:val="Hyperlink"/>
    <w:rPr>
      <w:color w:val="1F2D58"/>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dr" Type="http://schemas.openxmlformats.org/officeDocument/2006/relationships/header" Target="header1.xml"/><Relationship Id="rIdFtr" Type="http://schemas.openxmlformats.org/officeDocument/2006/relationships/footer" Target="footer1.xml"/><Relationship Id="rIdLogo" Type="http://schemas.openxmlformats.org/officeDocument/2006/relationships/image" Target="media/logo.png"/><Relationship Id="rIdCap" Type="http://schemas.openxmlformats.org/officeDocument/2006/relationships/image" Target="media/capability.png"/><Relationship Id="rIdNet" Type="http://schemas.openxmlformats.org/officeDocument/2006/relationships/image" Target="media/network.png"/><Relationship Id="rIdSeq" Type="http://schemas.openxmlformats.org/officeDocument/2006/relationships/image" Target="media/sequence.png"/></Relationships>
</file>