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0"/>
      </w:pPr>
      <w:r>
        <w:drawing>
          <wp:inline distT="0" distB="0" distL="0" distR="0">
            <wp:extent cx="1463040" cy="919832"/>
            <wp:docPr id="1" name="Picture1"/>
            <a:graphic xmlns:a="http://schemas.openxmlformats.org/drawingml/2006/main">
              <a:graphicData uri="http://schemas.openxmlformats.org/drawingml/2006/picture">
                <pic:pic xmlns:pic="http://schemas.openxmlformats.org/drawingml/2006/picture">
                  <pic:nvPicPr>
                    <pic:cNvPr id="1" name="Picture1"/>
                    <pic:cNvPicPr/>
                  </pic:nvPicPr>
                  <pic:blipFill>
                    <a:blip r:embed="rIdLogo"/>
                    <a:stretch>
                      <a:fillRect/>
                    </a:stretch>
                  </pic:blipFill>
                  <pic:spPr>
                    <a:xfrm>
                      <a:off x="0" y="0"/>
                      <a:ext cx="1463040" cy="919832"/>
                    </a:xfrm>
                    <a:prstGeom prst="rect">
                      <a:avLst/>
                    </a:prstGeom>
                  </pic:spPr>
                </pic:pic>
              </a:graphicData>
            </a:graphic>
          </wp:inline>
        </w:drawing>
      </w:r>
    </w:p>
    <w:p>
      <w:pPr>
        <w:spacing w:before="0" w:after="120"/>
      </w:pPr>
      <w:r>
        <w:rPr>
          <w:b/>
          <w:color w:val="F89728"/>
          <w:sz w:val="22"/>
          <w:szCs w:val="22"/>
          <w:rFonts w:ascii="Poppins" w:hAnsi="Poppins"/>
          <w:spacing w:val="60"/>
        </w:rPr>
        <w:t xml:space="preserve">HIGH LEVEL DESIGN</w:t>
      </w:r>
    </w:p>
    <w:p>
      <w:pPr>
        <w:spacing w:before="0" w:after="120"/>
      </w:pPr>
      <w:r>
        <w:rPr>
          <w:b/>
          <w:color w:val="1F2D58"/>
          <w:sz w:val="72"/>
          <w:szCs w:val="72"/>
          <w:rFonts w:ascii="Poppins" w:hAnsi="Poppins"/>
        </w:rPr>
        <w:t xml:space="preserve">Project Name</w:t>
      </w:r>
    </w:p>
    <w:p>
      <w:pPr>
        <w:spacing w:before="0" w:after="600"/>
      </w:pPr>
      <w:r>
        <w:rPr>
          <w:color w:val="8A90A5"/>
          <w:sz w:val="26"/>
          <w:szCs w:val="26"/>
          <w:rFonts w:ascii="Mulish" w:hAnsi="Mulish"/>
        </w:rPr>
        <w:t xml:space="preserve">One-line description of the solution this design covers.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Document owner</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Head of Digital Transformation &amp; Architecture</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Program / Project ID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Program name / ID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Division / Unit</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Division or unit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Status</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Draft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Version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Classification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FOR INTERNAL USE ONLY — Commercial in confidence</w:t>
            </w:r>
          </w:p>
        </w:tc>
      </w:tr>
    </w:tbl>
    <w:p>
      <w:pPr>
        <w:spacing w:before="0" w:after="120"/>
      </w:pPr>
    </w:p>
    <w:p>
      <w:pPr>
        <w:spacing w:before="0" w:after="0"/>
      </w:pPr>
      <w:r>
        <w:rPr>
          <w:color w:val="8A90A5"/>
          <w:sz w:val="19"/>
          <w:szCs w:val="19"/>
          <w:rFonts w:ascii="Mulish" w:hAnsi="Mulish"/>
        </w:rPr>
        <w:t xml:space="preserve">© APM</w:t>
      </w:r>
    </w:p>
    <w:p>
      <w:r>
        <w:br w:type="page"/>
      </w:r>
    </w:p>
    <w:p>
      <w:pPr>
        <w:pStyle w:val="Heading1"/>
        <w:spacing w:before="360" w:after="120"/>
      </w:pPr>
      <w:r>
        <w:rPr>
          <w:b/>
          <w:color w:val="1F2D58"/>
          <w:sz w:val="32"/>
          <w:szCs w:val="32"/>
          <w:rFonts w:ascii="Poppins" w:hAnsi="Poppins"/>
        </w:rPr>
        <w:t xml:space="preserve">Document control</w:t>
      </w:r>
    </w:p>
    <w:p>
      <w:pPr>
        <w:pStyle w:val="Heading2"/>
        <w:spacing w:before="240" w:after="80"/>
      </w:pPr>
      <w:r>
        <w:rPr>
          <w:b/>
          <w:color w:val="1F2D58"/>
          <w:sz w:val="24"/>
          <w:szCs w:val="24"/>
          <w:rFonts w:ascii="Poppins" w:hAnsi="Poppins"/>
        </w:rPr>
        <w:t xml:space="preserve">Revision history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Issue date</w:t>
            </w:r>
          </w:p>
        </w:tc>
        <w:tc>
          <w:tcPr>
            <w:tcW w:w="4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 of version / changes</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Author</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V0.1</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c>
          <w:tcPr>
            <w:tcW w:w="4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Initial draft for consultation</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Author name, role</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Reference / related documents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documents this design draws on or must be read with — the business case, requirements register, related DDDs, security standards.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Title</w:t>
            </w:r>
          </w:p>
        </w:tc>
        <w:tc>
          <w:tcPr>
            <w:tcW w:w="1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4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Relationship to this document</w:t>
            </w:r>
          </w:p>
        </w:tc>
      </w:tr>
      <w:tr>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Related document title</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V1.0</w:t>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e.g. Detailed design that implements this HLD</w:t>
            </w:r>
          </w:p>
        </w:tc>
      </w:tr>
      <w:tr>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Review and approval</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Name</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Title, area</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Action</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Sections</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Date</w:t>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Design Authority</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Approval</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Review</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resilience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Confidentiality &amp; disclaimer</w:t>
      </w:r>
    </w:p>
    <w:p>
      <w:pPr>
        <w:spacing w:before="0" w:after="120"/>
      </w:pPr>
      <w:r>
        <w:rPr>
          <w:color w:val="2A3040"/>
          <w:sz w:val="21"/>
          <w:szCs w:val="21"/>
          <w:rFonts w:ascii="Mulish" w:hAnsi="Mulish"/>
        </w:rPr>
        <w:t xml:space="preserve">This document is provided by Advanced Personnel Management International Pty Ltd and / or its related entities (APM) on a confidential basis. It does not constitute an offer capable of acceptance, and no agreement binding APM or its related companies is intended or proposed unless and until agreed in writing in a formal agreement. Communications regarding this document should be forwarded to the Head of Digital Transformation &amp; Architecture.</w:t>
      </w:r>
    </w:p>
    <w:p>
      <w:r>
        <w:br w:type="page"/>
      </w:r>
    </w:p>
    <w:p>
      <w:pPr>
        <w:pStyle w:val="Heading1"/>
        <w:spacing w:before="360" w:after="120"/>
      </w:pPr>
      <w:r>
        <w:rPr>
          <w:b/>
          <w:color w:val="1F2D58"/>
          <w:sz w:val="32"/>
          <w:szCs w:val="32"/>
          <w:rFonts w:ascii="Poppins" w:hAnsi="Poppins"/>
        </w:rPr>
        <w:t xml:space="preserve">Contents</w:t>
      </w:r>
    </w:p>
    <w:p>
      <w:r>
        <w:fldChar w:fldCharType="begin" w:dirty="true"/>
      </w:r>
      <w:r>
        <w:instrText xml:space="preserve"> TOC \o "1-2" \h \z \u </w:instrText>
      </w:r>
      <w:r>
        <w:fldChar w:fldCharType="separate"/>
      </w:r>
      <w:r>
        <w:rPr>
          <w:i/>
          <w:color w:val="8A90A5"/>
          <w:sz w:val="21"/>
          <w:szCs w:val="21"/>
          <w:rFonts w:ascii="Mulish" w:hAnsi="Mulish"/>
        </w:rPr>
        <w:t xml:space="preserve">Right-click here and choose "Update Field" to build the table of contents.</w:t>
      </w:r>
      <w:r>
        <w:fldChar w:fldCharType="end"/>
      </w:r>
    </w:p>
    <w:p>
      <w:r>
        <w:br w:type="page"/>
      </w:r>
    </w:p>
    <w:p>
      <w:pPr>
        <w:pStyle w:val="Heading1"/>
        <w:spacing w:before="360" w:after="120"/>
      </w:pPr>
      <w:r>
        <w:rPr>
          <w:b/>
          <w:color w:val="F89728"/>
          <w:sz w:val="32"/>
          <w:szCs w:val="32"/>
          <w:rFonts w:ascii="Poppins" w:hAnsi="Poppins"/>
        </w:rPr>
        <w:t xml:space="preserve">1.  </w:t>
      </w:r>
      <w:r>
        <w:rPr>
          <w:b/>
          <w:color w:val="1F2D58"/>
          <w:sz w:val="32"/>
          <w:szCs w:val="32"/>
          <w:rFonts w:ascii="Poppins" w:hAnsi="Poppins"/>
        </w:rPr>
        <w:t xml:space="preserve">Project summary</w:t>
      </w:r>
    </w:p>
    <w:p>
      <w:pPr>
        <w:pStyle w:val="Heading2"/>
        <w:spacing w:before="240" w:after="80"/>
      </w:pPr>
      <w:r>
        <w:rPr>
          <w:b/>
          <w:color w:val="1F2D58"/>
          <w:sz w:val="24"/>
          <w:szCs w:val="24"/>
          <w:rFonts w:ascii="Poppins" w:hAnsi="Poppins"/>
        </w:rPr>
        <w:t xml:space="preserve">1.1 Background and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why this project exists and what it delivers, in language a non-technical sponsor can read. 2–3 paragraphs maximum; detail belongs in later sections.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APM provides participants with shared access to digital services at its sites. The current fleet of unmanaged PCs presents security, privacy and supportability risks. This project replaces them with a managed, locked-down kiosk solution giving participants safe access to approved web applications while removing local data persistence.</w:t>
      </w:r>
    </w:p>
    <w:p>
      <w:pPr>
        <w:pStyle w:val="Heading2"/>
        <w:spacing w:before="240" w:after="80"/>
      </w:pPr>
      <w:r>
        <w:rPr>
          <w:b/>
          <w:color w:val="1F2D58"/>
          <w:sz w:val="24"/>
          <w:szCs w:val="24"/>
          <w:rFonts w:ascii="Poppins" w:hAnsi="Poppins"/>
        </w:rPr>
        <w:t xml:space="preserve">1.2 Business benefits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5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Benefit</w:t>
            </w:r>
          </w:p>
        </w:tc>
        <w:tc>
          <w:tcPr>
            <w:tcW w:w="4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Measure</w:t>
            </w:r>
          </w:p>
        </w:tc>
      </w:tr>
      <w:tr>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reduced data-spill risk on shared devices</w:t>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Zero local persistence; session wipe verified in test</w:t>
            </w:r>
          </w:p>
        </w:tc>
      </w:tr>
      <w:tr>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lower support effort per site</w:t>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Fewer incident tickets per device per month</w:t>
            </w:r>
          </w:p>
        </w:tc>
      </w:tr>
      <w:tr>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2.  </w:t>
      </w:r>
      <w:r>
        <w:rPr>
          <w:b/>
          <w:color w:val="1F2D58"/>
          <w:sz w:val="32"/>
          <w:szCs w:val="32"/>
          <w:rFonts w:ascii="Poppins" w:hAnsi="Poppins"/>
        </w:rPr>
        <w:t xml:space="preserve">Solution scope</w:t>
      </w:r>
    </w:p>
    <w:p>
      <w:pPr>
        <w:pStyle w:val="Heading2"/>
        <w:spacing w:before="240" w:after="80"/>
      </w:pPr>
      <w:r>
        <w:rPr>
          <w:b/>
          <w:color w:val="1F2D58"/>
          <w:sz w:val="24"/>
          <w:szCs w:val="24"/>
          <w:rFonts w:ascii="Poppins" w:hAnsi="Poppins"/>
        </w:rPr>
        <w:t xml:space="preserve">2.1 Business functional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requirements this design must satisfy, traced from the requirements register. Each must be verifiable.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Category</w:t>
            </w:r>
          </w:p>
        </w:tc>
        <w:tc>
          <w:tcPr>
            <w:tcW w:w="6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Key requirement</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BR-01</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Access</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Participants can access approved web applications to create and export documents</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BR-02</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Privacy</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session data is removed before the next user signs in</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2.2 Non-functional requirements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Category</w:t>
            </w:r>
          </w:p>
        </w:tc>
        <w:tc>
          <w:tcPr>
            <w:tcW w:w="6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Requirement</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NFR-01</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Availability</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 available during site operating hours (08:00–18:00 local)</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NFR-02</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Security</w:t>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Solution meets RFFR / ISM control requirements for the data it handles</w:t>
            </w:r>
          </w:p>
        </w:tc>
      </w:tr>
      <w:tr>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6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2.3 De-scoped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requirements considered and explicitly removed from scope, with who approved the change — this table prevents "I thought that was included" later.</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Req #</w:t>
            </w:r>
          </w:p>
        </w:tc>
        <w:tc>
          <w:tcPr>
            <w:tcW w:w="4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Change</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Details of approval</w:t>
            </w:r>
          </w:p>
        </w:tc>
      </w:tr>
      <w:tr>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BR-09</w:t>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Offline editing removed from scope</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Approved at design forum DD-MM-YYYY</w:t>
            </w:r>
          </w:p>
        </w:tc>
      </w:tr>
      <w:tr>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2.4 Application tier</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criticality tier of the application/service and what that tier implies for availability, support hours and DR.</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Tier 3 — site amenity. Outage degrades participant experience but a manual workaround exists (staff-assisted access). Business-hours support only.</w:t>
      </w:r>
    </w:p>
    <w:p>
      <w:r>
        <w:br w:type="page"/>
      </w:r>
    </w:p>
    <w:p>
      <w:pPr>
        <w:pStyle w:val="Heading1"/>
        <w:spacing w:before="360" w:after="120"/>
      </w:pPr>
      <w:r>
        <w:rPr>
          <w:b/>
          <w:color w:val="F89728"/>
          <w:sz w:val="32"/>
          <w:szCs w:val="32"/>
          <w:rFonts w:ascii="Poppins" w:hAnsi="Poppins"/>
        </w:rPr>
        <w:t xml:space="preserve">3.  </w:t>
      </w:r>
      <w:r>
        <w:rPr>
          <w:b/>
          <w:color w:val="1F2D58"/>
          <w:sz w:val="32"/>
          <w:szCs w:val="32"/>
          <w:rFonts w:ascii="Poppins" w:hAnsi="Poppins"/>
        </w:rPr>
        <w:t xml:space="preserve">Architecture design decisions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card per major decision. The rationale is the most-read cell in the document — write it so a future engineer understands the trade-off without attending the meeting.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DD-01 — Session data persistence approach</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APPROVED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 Persistent local profiles  2. Ephemeral session, wiped at sign-out  3. Roaming profiles</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2 — ephemeral session, wiped at sign-out</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are shared by the public; any persistence risks cross-user data exposure. Wipe-on-exit removes the data-spill risk class entirely. Trade-off accepted: users must save work externally before ending a session.</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Design authority forum, DD-MM-YYYY</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Decision record link / minutes</w:t>
            </w:r>
          </w:p>
        </w:tc>
      </w:tr>
    </w:tbl>
    <w:p>
      <w:pPr>
        <w:spacing w:before="0" w:after="120"/>
      </w:pP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c>
          <w:tcPr>
            <w:tcW w:w="2600" w:type="dxa"/>
            <w:shd w:val="clear" w:color="auto" w:fill="1F2D58"/>
            <w:tcMar>
              <w:top w:w="80" w:type="dxa"/>
              <w:left w:w="120" w:type="dxa"/>
              <w:bottom w:w="80" w:type="dxa"/>
              <w:right w:w="120" w:type="dxa"/>
            </w:tcMar>
            <w:vAlign w:val="center"/>
          </w:tcPr>
          <w:p>
            <w:pPr>
              <w:spacing w:before="0" w:after="0"/>
            </w:pPr>
            <w:r>
              <w:rPr>
                <w:b/>
                <w:color w:val="FFFFFF"/>
                <w:sz w:val="20"/>
                <w:szCs w:val="20"/>
                <w:rFonts w:ascii="Poppins" w:hAnsi="Poppins"/>
              </w:rPr>
              <w:t xml:space="preserve">DD-02 — Decision to be made</w:t>
            </w:r>
          </w:p>
        </w:tc>
        <w:tc>
          <w:tcPr>
            <w:tcW w:w="6700" w:type="dxa"/>
            <w:shd w:val="clear" w:color="auto" w:fill="1F2D58"/>
            <w:tcMar>
              <w:top w:w="80" w:type="dxa"/>
              <w:left w:w="120" w:type="dxa"/>
              <w:bottom w:w="80" w:type="dxa"/>
              <w:right w:w="120" w:type="dxa"/>
            </w:tcMar>
            <w:vAlign w:val="center"/>
          </w:tcPr>
          <w:p>
            <w:pPr>
              <w:spacing w:before="0" w:after="0"/>
            </w:pPr>
            <w:r>
              <w:rPr>
                <w:b/>
                <w:color w:val="F89728"/>
                <w:sz w:val="19"/>
                <w:szCs w:val="19"/>
                <w:rFonts w:ascii="Poppins" w:hAnsi="Poppins"/>
              </w:rPr>
              <w:t xml:space="preserve">Status: PROPOSED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Options considered</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 Option B; Option C</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Preferred option</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Option A</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Rationale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Why the preferred option was selected, including trade-offs accepted</w:t>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Approved by</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r>
        <w:tc>
          <w:tcPr>
            <w:tcW w:w="2600" w:type="dxa"/>
            <w:shd w:val="clear" w:color="auto" w:fill="F8F9FB"/>
            <w:tcMar>
              <w:top w:w="80" w:type="dxa"/>
              <w:left w:w="120" w:type="dxa"/>
              <w:bottom w:w="80" w:type="dxa"/>
              <w:right w:w="120" w:type="dxa"/>
            </w:tcMar>
            <w:vAlign w:val="center"/>
          </w:tcPr>
          <w:p>
            <w:pPr>
              <w:spacing w:before="0" w:after="0"/>
            </w:pPr>
            <w:r>
              <w:rPr>
                <w:b/>
                <w:color w:val="1F2D58"/>
                <w:sz w:val="19"/>
                <w:szCs w:val="19"/>
                <w:rFonts w:ascii="Poppins" w:hAnsi="Poppins"/>
              </w:rPr>
              <w:t xml:space="preserve">Reference</w:t>
            </w:r>
          </w:p>
        </w:tc>
        <w:tc>
          <w:tcPr>
            <w:tcW w:w="6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4.  </w:t>
      </w:r>
      <w:r>
        <w:rPr>
          <w:b/>
          <w:color w:val="1F2D58"/>
          <w:sz w:val="32"/>
          <w:szCs w:val="32"/>
          <w:rFonts w:ascii="Poppins" w:hAnsi="Poppins"/>
        </w:rPr>
        <w:t xml:space="preserve">Assumptions, risks, issues &amp; dependencies</w:t>
      </w:r>
    </w:p>
    <w:p>
      <w:pPr>
        <w:pStyle w:val="Heading2"/>
        <w:spacing w:before="240" w:after="80"/>
      </w:pPr>
      <w:r>
        <w:rPr>
          <w:b/>
          <w:color w:val="1F2D58"/>
          <w:sz w:val="24"/>
          <w:szCs w:val="24"/>
          <w:rFonts w:ascii="Poppins" w:hAnsi="Poppins"/>
        </w:rPr>
        <w:t xml:space="preserve">4.1 Assumptions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Unique #</w:t>
            </w:r>
          </w:p>
        </w:tc>
        <w:tc>
          <w:tcPr>
            <w:tcW w:w="5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Assumption</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 if not true</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A-01</w:t>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Required licensing is available before pilot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Provisioning blocked; pilot slips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A-02</w:t>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network is delivered by the network programme before deployment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cannot reach cloud services</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5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4.2 Risks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3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Risk 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Severity</w:t>
            </w:r>
          </w:p>
        </w:tc>
        <w:tc>
          <w:tcPr>
            <w:tcW w:w="1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Probability</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Mitigation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RK-01</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Upstream network design not approved before build window opens</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High</w:t>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Medium</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Escalate via design authority; sequence non-dependent work first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RK-02</w:t>
            </w:r>
          </w:p>
        </w:tc>
        <w:tc>
          <w:tcPr>
            <w:tcW w:w="3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4.3 Issues and concerns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Issue description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to</w:t>
            </w:r>
          </w:p>
        </w:tc>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Target resolution</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IS-01</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duplicate Conditional Access policies in tenant require consolidation before enablement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DD-MM-YYYY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4.4 Dependencies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6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Dependency</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D-01</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Code-signing certificate issued for device-side scripts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D-02</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design approved and change window scheduled</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Network lead</w:t>
            </w:r>
          </w:p>
        </w:tc>
      </w:tr>
      <w:tr>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D-03</w:t>
            </w:r>
          </w:p>
        </w:tc>
        <w:tc>
          <w:tcPr>
            <w:tcW w:w="6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5.  </w:t>
      </w:r>
      <w:r>
        <w:rPr>
          <w:b/>
          <w:color w:val="1F2D58"/>
          <w:sz w:val="32"/>
          <w:szCs w:val="32"/>
          <w:rFonts w:ascii="Poppins" w:hAnsi="Poppins"/>
        </w:rPr>
        <w:t xml:space="preserve">Compliance</w:t>
      </w:r>
    </w:p>
    <w:p>
      <w:pPr>
        <w:pStyle w:val="Heading2"/>
        <w:spacing w:before="240" w:after="80"/>
      </w:pPr>
      <w:r>
        <w:rPr>
          <w:b/>
          <w:color w:val="1F2D58"/>
          <w:sz w:val="24"/>
          <w:szCs w:val="24"/>
          <w:rFonts w:ascii="Poppins" w:hAnsi="Poppins"/>
        </w:rPr>
        <w:t xml:space="preserve">5.1 IT architecture principles alignment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state compliance honestly — a "Partial" with a treatment plan passes review; an unexplained "Yes" does not.</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t>
            </w:r>
          </w:p>
        </w:tc>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Principle</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Compliant</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Comment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EA-1</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Reuse enterprise platforms before building new</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Built entirely on existing identity, device-management and gateway platforms</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EA-2</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Cost aware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Per-device licensing; no new infrastructure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SEC-1</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Minimise the attack surface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Locked shell; all other executables blocked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SEC-2</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Use defence in depth</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identity, network and data-plane controls are independent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SEC-3</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Limit privileges to those required</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No standing admin; PIM elevation only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SEC-4</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Protect data commensurate with sensitivity</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Yes</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 wipe; no local persistence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Partial</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Gap and treatment</w:t>
            </w:r>
          </w:p>
        </w:tc>
      </w:tr>
    </w:tbl>
    <w:p>
      <w:pPr>
        <w:spacing w:before="0" w:after="120"/>
      </w:pPr>
    </w:p>
    <w:p>
      <w:pPr>
        <w:pStyle w:val="Heading1"/>
        <w:spacing w:before="360" w:after="120"/>
      </w:pPr>
      <w:r>
        <w:rPr>
          <w:b/>
          <w:color w:val="F89728"/>
          <w:sz w:val="32"/>
          <w:szCs w:val="32"/>
          <w:rFonts w:ascii="Poppins" w:hAnsi="Poppins"/>
        </w:rPr>
        <w:t xml:space="preserve">6.  </w:t>
      </w:r>
      <w:r>
        <w:rPr>
          <w:b/>
          <w:color w:val="1F2D58"/>
          <w:sz w:val="32"/>
          <w:szCs w:val="32"/>
          <w:rFonts w:ascii="Poppins" w:hAnsi="Poppins"/>
        </w:rPr>
        <w:t xml:space="preserve">Application architecture</w:t>
      </w:r>
    </w:p>
    <w:p>
      <w:pPr>
        <w:pStyle w:val="Heading2"/>
        <w:spacing w:before="240" w:after="80"/>
      </w:pPr>
      <w:r>
        <w:rPr>
          <w:b/>
          <w:color w:val="1F2D58"/>
          <w:sz w:val="24"/>
          <w:szCs w:val="24"/>
          <w:rFonts w:ascii="Poppins" w:hAnsi="Poppins"/>
        </w:rPr>
        <w:t xml:space="preserve">6.1 High level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one diagram showing the solution in the middle, every human and system actor around it, and what flows on each line — plus a short narrative.</w:t>
      </w:r>
    </w:p>
    <w:p>
      <w:pPr>
        <w:spacing w:before="120" w:after="200"/>
        <w:jc w:val="center"/>
        <w:pBdr>
          <w:top w:val="dashed" w:sz="6" w:color="C7CDE0"/>
          <w:bottom w:val="dashed" w:sz="6" w:color="C7CDE0"/>
          <w:left w:val="dashed" w:sz="6" w:color="C7CDE0"/>
          <w:right w:val="dashed" w:sz="6" w:color="C7CDE0"/>
        </w:pBdr>
      </w:pPr>
      <w:r>
        <w:rPr>
          <w:color w:val="8A90A5"/>
          <w:sz w:val="21"/>
          <w:szCs w:val="21"/>
          <w:rFonts w:ascii="Poppins" w:hAnsi="Poppins"/>
        </w:rPr>
        <w:t xml:space="preserve">Insert solution overview / system context diagram here</w:t>
      </w:r>
    </w:p>
    <w:p>
      <w:pPr>
        <w:pStyle w:val="Heading2"/>
        <w:spacing w:before="240" w:after="80"/>
      </w:pPr>
      <w:r>
        <w:rPr>
          <w:b/>
          <w:color w:val="1F2D58"/>
          <w:sz w:val="24"/>
          <w:szCs w:val="24"/>
          <w:rFonts w:ascii="Poppins" w:hAnsi="Poppins"/>
        </w:rPr>
        <w:t xml:space="preserve">6.2 Components &amp; functions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4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Function</w:t>
            </w:r>
          </w:p>
        </w:tc>
        <w:tc>
          <w:tcPr>
            <w:tcW w:w="1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Environment</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Edge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Locked-down browser shell for participant sessions</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Stable channel</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Client Connector</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Secure web gateway tunnel from device</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Latest GA</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Intune</w:t>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configuration, compliance and app deployment</w:t>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Production</w:t>
            </w:r>
          </w:p>
        </w:tc>
      </w:tr>
      <w:tr>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6.3 Integration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every integration — one row per interface. For the flows that are hard to reason about in prose, add a sequence diagram.</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 → destination</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Method / protocol</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exchanged</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IF-01</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 Zscaler ZIA</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TLS tunnel</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All web traffic; SSL-inspected per policy</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IF-02</w:t>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Edge → Microsoft 365 web apps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HTTPS 443</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Authenticated session; documents in transit</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spacing w:before="0" w:after="40"/>
      </w:pPr>
      <w:r>
        <w:drawing>
          <wp:inline distT="0" distB="0" distL="0" distR="0">
            <wp:extent cx="5760720" cy="4070909"/>
            <wp:docPr id="2" name="Picture2"/>
            <a:graphic xmlns:a="http://schemas.openxmlformats.org/drawingml/2006/main">
              <a:graphicData uri="http://schemas.openxmlformats.org/drawingml/2006/picture">
                <pic:pic xmlns:pic="http://schemas.openxmlformats.org/drawingml/2006/picture">
                  <pic:nvPicPr>
                    <pic:cNvPr id="2" name="Picture2"/>
                    <pic:cNvPicPr/>
                  </pic:nvPicPr>
                  <pic:blipFill>
                    <a:blip r:embed="rIdSeq"/>
                    <a:stretch>
                      <a:fillRect/>
                    </a:stretch>
                  </pic:blipFill>
                  <pic:spPr>
                    <a:xfrm>
                      <a:off x="0" y="0"/>
                      <a:ext cx="5760720" cy="4070909"/>
                    </a:xfrm>
                    <a:prstGeom prst="rect">
                      <a:avLst/>
                    </a:prstGeom>
                  </pic:spPr>
                </pic:pic>
              </a:graphicData>
            </a:graphic>
          </wp:inline>
        </w:drawing>
      </w:r>
    </w:p>
    <w:p>
      <w:pPr>
        <w:spacing w:before="0" w:after="200"/>
      </w:pPr>
      <w:r>
        <w:rPr>
          <w:i/>
          <w:color w:val="8A90A5"/>
          <w:sz w:val="18"/>
          <w:szCs w:val="18"/>
          <w:rFonts w:ascii="Mulish" w:hAnsi="Mulish"/>
        </w:rPr>
        <w:t xml:space="preserve">Figure 6.1 — Example: device / gateway / cloud interaction sequence. Replace with the critical flows for your solution.</w:t>
      </w:r>
    </w:p>
    <w:p>
      <w:pPr>
        <w:pStyle w:val="Heading2"/>
        <w:spacing w:before="240" w:after="80"/>
      </w:pPr>
      <w:r>
        <w:rPr>
          <w:b/>
          <w:color w:val="1F2D58"/>
          <w:sz w:val="24"/>
          <w:szCs w:val="24"/>
          <w:rFonts w:ascii="Poppins" w:hAnsi="Poppins"/>
        </w:rPr>
        <w:t xml:space="preserve">6.4 Impacted systems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System</w:t>
            </w:r>
          </w:p>
        </w:tc>
        <w:tc>
          <w:tcPr>
            <w:tcW w:w="3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Change required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ServiceNow</w:t>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New support queue and device CI class</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Queue + CMDB update</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7.  </w:t>
      </w:r>
      <w:r>
        <w:rPr>
          <w:b/>
          <w:color w:val="1F2D58"/>
          <w:sz w:val="32"/>
          <w:szCs w:val="32"/>
          <w:rFonts w:ascii="Poppins" w:hAnsi="Poppins"/>
        </w:rPr>
        <w:t xml:space="preserve">Data architecture</w:t>
      </w:r>
    </w:p>
    <w:p>
      <w:pPr>
        <w:pStyle w:val="Heading2"/>
        <w:spacing w:before="240" w:after="80"/>
      </w:pPr>
      <w:r>
        <w:rPr>
          <w:b/>
          <w:color w:val="1F2D58"/>
          <w:sz w:val="24"/>
          <w:szCs w:val="24"/>
          <w:rFonts w:ascii="Poppins" w:hAnsi="Poppins"/>
        </w:rPr>
        <w:t xml:space="preserve">7.1 High level data architecture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information entities the solution creates, stores or transits; where each is mastered; what is deliberately NOT stored.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Entity</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Mastered in</w:t>
            </w:r>
          </w:p>
        </w:tc>
        <w:tc>
          <w:tcPr>
            <w:tcW w:w="3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Flow through this solution</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 documents</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(user’s own account)</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Created/edited in web apps; never persisted on device</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 telemetry</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Entra ID / Intune</w:t>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Sign-in and compliance logs to tenant</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7.2 Data model / data flow diagrams</w:t>
      </w:r>
    </w:p>
    <w:p>
      <w:pPr>
        <w:spacing w:before="120" w:after="200"/>
        <w:jc w:val="center"/>
        <w:pBdr>
          <w:top w:val="dashed" w:sz="6" w:color="C7CDE0"/>
          <w:bottom w:val="dashed" w:sz="6" w:color="C7CDE0"/>
          <w:left w:val="dashed" w:sz="6" w:color="C7CDE0"/>
          <w:right w:val="dashed" w:sz="6" w:color="C7CDE0"/>
        </w:pBdr>
      </w:pPr>
      <w:r>
        <w:rPr>
          <w:color w:val="8A90A5"/>
          <w:sz w:val="21"/>
          <w:szCs w:val="21"/>
          <w:rFonts w:ascii="Poppins" w:hAnsi="Poppins"/>
        </w:rPr>
        <w:t xml:space="preserve">Insert data flow diagram here (source → processing → storage → egress)</w:t>
      </w:r>
    </w:p>
    <w:p>
      <w:pPr>
        <w:pStyle w:val="Heading2"/>
        <w:spacing w:before="240" w:after="80"/>
      </w:pPr>
      <w:r>
        <w:rPr>
          <w:b/>
          <w:color w:val="1F2D58"/>
          <w:sz w:val="24"/>
          <w:szCs w:val="24"/>
          <w:rFonts w:ascii="Poppins" w:hAnsi="Poppins"/>
        </w:rPr>
        <w:t xml:space="preserve">7.3 Reporting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Report</w:t>
            </w:r>
          </w:p>
        </w:tc>
        <w:tc>
          <w:tcPr>
            <w:tcW w:w="3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Frequency</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Recipients</w:t>
            </w:r>
          </w:p>
        </w:tc>
      </w:tr>
      <w:tr>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fleet compliance</w:t>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Devices compliant vs total, by site</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Weekly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 owner</w:t>
            </w:r>
          </w:p>
        </w:tc>
      </w:tr>
      <w:tr>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8.  </w:t>
      </w:r>
      <w:r>
        <w:rPr>
          <w:b/>
          <w:color w:val="1F2D58"/>
          <w:sz w:val="32"/>
          <w:szCs w:val="32"/>
          <w:rFonts w:ascii="Poppins" w:hAnsi="Poppins"/>
        </w:rPr>
        <w:t xml:space="preserve">Infrastructure</w:t>
      </w:r>
    </w:p>
    <w:p>
      <w:pPr>
        <w:pStyle w:val="Heading2"/>
        <w:spacing w:before="240" w:after="80"/>
      </w:pPr>
      <w:r>
        <w:rPr>
          <w:b/>
          <w:color w:val="1F2D58"/>
          <w:sz w:val="24"/>
          <w:szCs w:val="24"/>
          <w:rFonts w:ascii="Poppins" w:hAnsi="Poppins"/>
        </w:rPr>
        <w:t xml:space="preserve">8.1 High level infrastructure overview</w:t>
      </w:r>
    </w:p>
    <w:p>
      <w:pPr>
        <w:spacing w:before="0" w:after="40"/>
      </w:pPr>
      <w:r>
        <w:drawing>
          <wp:inline distT="0" distB="0" distL="0" distR="0">
            <wp:extent cx="5760720" cy="3887681"/>
            <wp:docPr id="3" name="Picture3"/>
            <a:graphic xmlns:a="http://schemas.openxmlformats.org/drawingml/2006/main">
              <a:graphicData uri="http://schemas.openxmlformats.org/drawingml/2006/picture">
                <pic:pic xmlns:pic="http://schemas.openxmlformats.org/drawingml/2006/picture">
                  <pic:nvPicPr>
                    <pic:cNvPr id="3" name="Picture3"/>
                    <pic:cNvPicPr/>
                  </pic:nvPicPr>
                  <pic:blipFill>
                    <a:blip r:embed="rIdNet"/>
                    <a:stretch>
                      <a:fillRect/>
                    </a:stretch>
                  </pic:blipFill>
                  <pic:spPr>
                    <a:xfrm>
                      <a:off x="0" y="0"/>
                      <a:ext cx="5760720" cy="3887681"/>
                    </a:xfrm>
                    <a:prstGeom prst="rect">
                      <a:avLst/>
                    </a:prstGeom>
                  </pic:spPr>
                </pic:pic>
              </a:graphicData>
            </a:graphic>
          </wp:inline>
        </w:drawing>
      </w:r>
    </w:p>
    <w:p>
      <w:pPr>
        <w:spacing w:before="0" w:after="200"/>
      </w:pPr>
      <w:r>
        <w:rPr>
          <w:i/>
          <w:color w:val="8A90A5"/>
          <w:sz w:val="18"/>
          <w:szCs w:val="18"/>
          <w:rFonts w:ascii="Mulish" w:hAnsi="Mulish"/>
        </w:rPr>
        <w:t xml:space="preserve">Figure 8.1 — Example: site network logical diagram. Replace with the view for your solution.</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connect to a dedicated site VLAN via a hidden SSID. All egress traverses the site firewall to the secure web gateway; no lateral access to corporate VLANs is permitted.</w:t>
      </w:r>
    </w:p>
    <w:p>
      <w:pPr>
        <w:pStyle w:val="Heading2"/>
        <w:spacing w:before="240" w:after="80"/>
      </w:pPr>
      <w:r>
        <w:rPr>
          <w:b/>
          <w:color w:val="1F2D58"/>
          <w:sz w:val="24"/>
          <w:szCs w:val="24"/>
          <w:rFonts w:ascii="Poppins" w:hAnsi="Poppins"/>
        </w:rPr>
        <w:t xml:space="preserve">8.2 Infrastructure &amp; database</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physical/virtual servers, cloud resources, databases. For cloud-only device solutions, record the cloud resources (Key Vault, storage, automation).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Attribute</w:t>
            </w:r>
          </w:p>
        </w:tc>
        <w:tc>
          <w:tcPr>
            <w:tcW w:w="6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Resource name</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kv-project-prod-ae</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Type / platform</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Location / region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Australia East</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Configuration</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RBAC authorisation; purge protection on</w:t>
            </w:r>
          </w:p>
        </w:tc>
      </w:tr>
      <w:tr>
        <w:tc>
          <w:tcPr>
            <w:tcW w:w="3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Dependencies</w:t>
            </w:r>
          </w:p>
        </w:tc>
        <w:tc>
          <w:tcPr>
            <w:tcW w:w="6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Accessed by provisioning pipeline at device build</w:t>
            </w:r>
          </w:p>
        </w:tc>
      </w:tr>
    </w:tbl>
    <w:p>
      <w:pPr>
        <w:spacing w:before="0" w:after="120"/>
      </w:pPr>
    </w:p>
    <w:p>
      <w:pPr>
        <w:pStyle w:val="Heading2"/>
        <w:spacing w:before="240" w:after="80"/>
      </w:pPr>
      <w:r>
        <w:rPr>
          <w:b/>
          <w:color w:val="1F2D58"/>
          <w:sz w:val="24"/>
          <w:szCs w:val="24"/>
          <w:rFonts w:ascii="Poppins" w:hAnsi="Poppins"/>
        </w:rPr>
        <w:t xml:space="preserve">8.3 Network services</w:t>
      </w:r>
    </w:p>
    <w:p>
      <w:pPr>
        <w:pStyle w:val="Heading3"/>
        <w:spacing w:before="180" w:after="60"/>
      </w:pPr>
      <w:r>
        <w:rPr>
          <w:b/>
          <w:color w:val="1F2D58"/>
          <w:sz w:val="21"/>
          <w:szCs w:val="21"/>
          <w:rFonts w:ascii="Poppins" w:hAnsi="Poppins"/>
        </w:rPr>
        <w:t xml:space="preserve">Network cabling</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is any new cabling needed? Which sites, who delivers it, by when.</w:t>
      </w:r>
    </w:p>
    <w:p>
      <w:pPr>
        <w:pStyle w:val="Heading3"/>
        <w:spacing w:before="180" w:after="60"/>
      </w:pPr>
      <w:r>
        <w:rPr>
          <w:b/>
          <w:color w:val="1F2D58"/>
          <w:sz w:val="21"/>
          <w:szCs w:val="21"/>
          <w:rFonts w:ascii="Poppins" w:hAnsi="Poppins"/>
        </w:rPr>
        <w:t xml:space="preserve">Edge / data centre switching</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which switches devices or servers connect to; port profiles; any new hardware.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1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VLAN</w:t>
            </w:r>
          </w:p>
        </w:tc>
        <w:tc>
          <w:tcPr>
            <w:tcW w:w="2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IP range</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Subnet</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kiosk device VLAN</w:t>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73</w:t>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10.x.x.0/24</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/24</w:t>
            </w:r>
          </w:p>
        </w:tc>
      </w:tr>
      <w:tr>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8.4 Firewall policy overview &amp; internet access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Ref #</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Destination</w:t>
            </w:r>
          </w:p>
        </w:tc>
        <w:tc>
          <w:tcPr>
            <w:tcW w:w="16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Port / protocol</w:t>
            </w:r>
          </w:p>
        </w:tc>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FW-01</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ZIA ranges</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 80/TCP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Web gateway tunnel</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FW-02</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VLAN</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Microsoft 365 / Intune endpoints</w:t>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443/TCP</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Enrolment, policy, M365 services</w:t>
            </w:r>
          </w:p>
        </w:tc>
      </w:tr>
      <w:tr>
        <w:tc>
          <w:tcPr>
            <w:tcW w:w="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6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8.5 DNS configuration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Record / setting</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Value</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DNS servers (DHCP option)</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resolver pair</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Name resolution for device VLAN</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8.6 Software components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Software</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Version</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Licence</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Windows 11 Enterprise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Current baseline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Per-device</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Volume licensing</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8.7 Infrastructure uptime &amp; availability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Target 99.5% during site operating hours. Devices are stateless; a failed device is swapped and re-provisioned within one business day.</w:t>
      </w:r>
    </w:p>
    <w:p>
      <w:r>
        <w:br w:type="page"/>
      </w:r>
    </w:p>
    <w:p>
      <w:pPr>
        <w:pStyle w:val="Heading1"/>
        <w:spacing w:before="360" w:after="120"/>
      </w:pPr>
      <w:r>
        <w:rPr>
          <w:b/>
          <w:color w:val="F89728"/>
          <w:sz w:val="32"/>
          <w:szCs w:val="32"/>
          <w:rFonts w:ascii="Poppins" w:hAnsi="Poppins"/>
        </w:rPr>
        <w:t xml:space="preserve">9.  </w:t>
      </w:r>
      <w:r>
        <w:rPr>
          <w:b/>
          <w:color w:val="1F2D58"/>
          <w:sz w:val="32"/>
          <w:szCs w:val="32"/>
          <w:rFonts w:ascii="Poppins" w:hAnsi="Poppins"/>
        </w:rPr>
        <w:t xml:space="preserve">Cyber resilience</w:t>
      </w:r>
    </w:p>
    <w:p>
      <w:pPr>
        <w:pStyle w:val="Heading2"/>
        <w:spacing w:before="240" w:after="80"/>
      </w:pPr>
      <w:r>
        <w:rPr>
          <w:b/>
          <w:color w:val="1F2D58"/>
          <w:sz w:val="24"/>
          <w:szCs w:val="24"/>
          <w:rFonts w:ascii="Poppins" w:hAnsi="Poppins"/>
        </w:rPr>
        <w:t xml:space="preserve">9.1 Security overview</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the control story in one paragraph: what protects the device, the identity, the network path and the data.</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Security is enforced in four independent layers: a locked device shell (only approved apps run), bound identities (Conditional Access ties each sign-in to its device and blocks all non-approved cloud apps), an inspected network path (all egress via the secure web gateway), and a stateless data plane (session wipe at sign-out).</w:t>
      </w:r>
    </w:p>
    <w:p>
      <w:pPr>
        <w:pStyle w:val="Heading2"/>
        <w:spacing w:before="240" w:after="80"/>
      </w:pPr>
      <w:r>
        <w:rPr>
          <w:b/>
          <w:color w:val="1F2D58"/>
          <w:sz w:val="24"/>
          <w:szCs w:val="24"/>
          <w:rFonts w:ascii="Poppins" w:hAnsi="Poppins"/>
        </w:rPr>
        <w:t xml:space="preserve">9.2 Data governance and classification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Data component</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Classification</w:t>
            </w:r>
          </w:p>
        </w:tc>
        <w:tc>
          <w:tcPr>
            <w:tcW w:w="4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Comments</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 documents</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User’s M365 storage; wiped from device at session end</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credentials</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OFFICIAL: Sensitive</w:t>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Key Vault; rotated automatically</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9.3 Cryptographic keys &amp; certificate protection</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Item</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Stored in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Rotation</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code-signing certificate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Azure Key Vault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Annual</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 security</w:t>
            </w:r>
          </w:p>
        </w:tc>
      </w:tr>
      <w:tr>
        <w:tc>
          <w:tcPr>
            <w:tcW w:w="3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9.4 Identity &amp; access management</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Sessions use dedicated identities bound to devices by Conditional Access; a default-deny policy blocks all cloud apps except the approved set. Administrative access uses separate identities with PIM-activated roles; no standing privileged access.</w:t>
      </w:r>
    </w:p>
    <w:p>
      <w:pPr>
        <w:pStyle w:val="Heading2"/>
        <w:spacing w:before="240" w:after="80"/>
      </w:pPr>
      <w:r>
        <w:rPr>
          <w:b/>
          <w:color w:val="1F2D58"/>
          <w:sz w:val="24"/>
          <w:szCs w:val="24"/>
          <w:rFonts w:ascii="Poppins" w:hAnsi="Poppins"/>
        </w:rPr>
        <w:t xml:space="preserve">9.5 User roles &amp; access administration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user communities, their access privileges, and how access is granted, reviewed and revoked.</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Frequency of use</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Access privileges required</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Administered via</w:t>
            </w:r>
          </w:p>
        </w:tc>
      </w:tr>
      <w:tr>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Participant</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Per visit</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Approved web apps only</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Automatic (kiosk identity)</w:t>
            </w:r>
          </w:p>
        </w:tc>
      </w:tr>
      <w:tr>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 staff</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Daily</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restart, session reset</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Scoped role</w:t>
            </w:r>
          </w:p>
        </w:tc>
      </w:tr>
      <w:tr>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10.  </w:t>
      </w:r>
      <w:r>
        <w:rPr>
          <w:b/>
          <w:color w:val="1F2D58"/>
          <w:sz w:val="32"/>
          <w:szCs w:val="32"/>
          <w:rFonts w:ascii="Poppins" w:hAnsi="Poppins"/>
        </w:rPr>
        <w:t xml:space="preserve">Supportability &amp; monitoring</w:t>
      </w:r>
    </w:p>
    <w:p>
      <w:pPr>
        <w:pStyle w:val="Heading2"/>
        <w:spacing w:before="240" w:after="80"/>
      </w:pPr>
      <w:r>
        <w:rPr>
          <w:b/>
          <w:color w:val="1F2D58"/>
          <w:sz w:val="24"/>
          <w:szCs w:val="24"/>
          <w:rFonts w:ascii="Poppins" w:hAnsi="Poppins"/>
        </w:rPr>
        <w:t xml:space="preserve">10.1 Monitoring &amp; alerting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1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Layer</w:t>
            </w:r>
          </w:p>
        </w:tc>
        <w:tc>
          <w:tcPr>
            <w:tcW w:w="3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What is monitored</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Tooling</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Alert routing</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Application</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Session/app health</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Vendor dashboards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ServiceNow queue</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Infrastructure</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compliance, enrolment state</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Intune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ServiceNow queue</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Cyber</w:t>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Sign-in risk, CA blocks, vulnerabilities</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SIEM / Defender</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Security operations</w:t>
            </w:r>
          </w:p>
        </w:tc>
      </w:tr>
      <w:tr>
        <w:tc>
          <w:tcPr>
            <w:tcW w:w="1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10.2 Support model &amp; run procedures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who supports what, and the routine tasks that keep the service healthy.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Area of responsibility</w:t>
            </w:r>
          </w:p>
        </w:tc>
        <w:tc>
          <w:tcPr>
            <w:tcW w:w="21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Service desk</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Application support</w:t>
            </w:r>
          </w:p>
        </w:tc>
        <w:tc>
          <w:tcPr>
            <w:tcW w:w="22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Infrastructure support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device offline</w:t>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Triage, dispatch</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t>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Swap &amp; re-provision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1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2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Task</w:t>
            </w:r>
          </w:p>
        </w:tc>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Purpose</w:t>
            </w:r>
          </w:p>
        </w:tc>
        <w:tc>
          <w:tcPr>
            <w:tcW w:w="1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Frequency</w:t>
            </w:r>
          </w:p>
        </w:tc>
        <w:tc>
          <w:tcPr>
            <w:tcW w:w="1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Responsible</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review compliance report</w:t>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Catch drift before it strands devices</w:t>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Weekly</w:t>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10.3 Service levels, incident handling &amp; escalation</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Priority follows the enterprise matrix; a whole-site outage is P2. Escalation: service desk → platform team → vendor. Response targets per the enterprise SLA for a Tier 3 service.</w:t>
      </w:r>
    </w:p>
    <w:p>
      <w:pPr>
        <w:pStyle w:val="Heading2"/>
        <w:spacing w:before="240" w:after="80"/>
      </w:pPr>
      <w:r>
        <w:rPr>
          <w:b/>
          <w:color w:val="1F2D58"/>
          <w:sz w:val="24"/>
          <w:szCs w:val="24"/>
          <w:rFonts w:ascii="Poppins" w:hAnsi="Poppins"/>
        </w:rPr>
        <w:t xml:space="preserve">10.4 Backup &amp; recovery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hold no data and are not backed up; recovery is re-provisioning. Configuration-as-source (policies, profiles, scripts) is exported to the repository on change.</w:t>
      </w:r>
    </w:p>
    <w:p>
      <w:pPr>
        <w:pStyle w:val="Heading2"/>
        <w:spacing w:before="240" w:after="80"/>
      </w:pPr>
      <w:r>
        <w:rPr>
          <w:b/>
          <w:color w:val="1F2D58"/>
          <w:sz w:val="24"/>
          <w:szCs w:val="24"/>
          <w:rFonts w:ascii="Poppins" w:hAnsi="Poppins"/>
        </w:rPr>
        <w:t xml:space="preserve">10.5 Updates &amp; patching</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Component</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Cadence</w:t>
            </w:r>
          </w:p>
        </w:tc>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Ring / window</w:t>
            </w:r>
          </w:p>
        </w:tc>
        <w:tc>
          <w:tcPr>
            <w:tcW w:w="2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Owner</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Windows quality updates</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Monthly</w:t>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Pilot +0d, broad +7d</w:t>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Platform team</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10.6 Maintenance windows &amp; remote access</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Maintenance occurs outside site hours (18:00–08:00 local). Remote support is attended-only via the approved tool; sessions are logged and require on-site consent.</w:t>
      </w:r>
    </w:p>
    <w:p>
      <w:pPr>
        <w:pStyle w:val="Heading2"/>
        <w:spacing w:before="240" w:after="80"/>
      </w:pPr>
      <w:r>
        <w:rPr>
          <w:b/>
          <w:color w:val="1F2D58"/>
          <w:sz w:val="24"/>
          <w:szCs w:val="24"/>
          <w:rFonts w:ascii="Poppins" w:hAnsi="Poppins"/>
        </w:rPr>
        <w:t xml:space="preserve">10.7 Disaster recovery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Devices are stateless: recovery is re-provisioning via the enrolment pipeline. Management plane (Intune/Entra) DR is inherited from Microsoft; configuration restore from repository.</w:t>
      </w:r>
    </w:p>
    <w:p>
      <w:pPr>
        <w:pStyle w:val="Heading2"/>
        <w:spacing w:before="240" w:after="80"/>
      </w:pPr>
      <w:r>
        <w:rPr>
          <w:b/>
          <w:color w:val="1F2D58"/>
          <w:sz w:val="24"/>
          <w:szCs w:val="24"/>
          <w:rFonts w:ascii="Poppins" w:hAnsi="Poppins"/>
        </w:rPr>
        <w:t xml:space="preserve">10.8 Capacity, performance &amp; scalability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Metric</w:t>
            </w:r>
          </w:p>
        </w:tc>
        <w:tc>
          <w:tcPr>
            <w:tcW w:w="30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Design value</w:t>
            </w:r>
          </w:p>
        </w:tc>
        <w:tc>
          <w:tcPr>
            <w:tcW w:w="2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Growth headroom</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devices per site</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 devices</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Add devices; no infrastructure change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concurrent sessions</w:t>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Sized to licence count</w:t>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Licence uplift</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0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11.  </w:t>
      </w:r>
      <w:r>
        <w:rPr>
          <w:b/>
          <w:color w:val="1F2D58"/>
          <w:sz w:val="32"/>
          <w:szCs w:val="32"/>
          <w:rFonts w:ascii="Poppins" w:hAnsi="Poppins"/>
        </w:rPr>
        <w:t xml:space="preserve">Resource requirements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hardware, software and people needed to deliver and then run the solution.</w:t>
      </w:r>
    </w:p>
    <w:p>
      <w:pPr>
        <w:pStyle w:val="Heading2"/>
        <w:spacing w:before="240" w:after="80"/>
      </w:pPr>
      <w:r>
        <w:rPr>
          <w:b/>
          <w:color w:val="1F2D58"/>
          <w:sz w:val="24"/>
          <w:szCs w:val="24"/>
          <w:rFonts w:ascii="Poppins" w:hAnsi="Poppins"/>
        </w:rPr>
        <w:t xml:space="preserve">11.1 Hardware &amp; software requirements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3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Item</w:t>
            </w:r>
          </w:p>
        </w:tc>
        <w:tc>
          <w:tcPr>
            <w:tcW w:w="1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Type</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Quantity</w:t>
            </w:r>
          </w:p>
        </w:tc>
        <w:tc>
          <w:tcPr>
            <w:tcW w:w="23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Source</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kiosk devices</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Hardware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N per site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Device partner</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per-device licences</w:t>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Software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1 per device</w:t>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Reseller</w:t>
            </w:r>
          </w:p>
        </w:tc>
      </w:tr>
      <w:tr>
        <w:tc>
          <w:tcPr>
            <w:tcW w:w="3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3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11.2 Personnel — during delivery</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tasks</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Time required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build engineer</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Image, profiles, policy build and test</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X weeks</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11.3 Personnel — support &amp; maintenance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Role</w:t>
            </w:r>
          </w:p>
        </w:tc>
        <w:tc>
          <w:tcPr>
            <w:tcW w:w="4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Assigned tasks</w:t>
            </w:r>
          </w:p>
        </w:tc>
        <w:tc>
          <w:tcPr>
            <w:tcW w:w="1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Time required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platform team</w:t>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Patching, compliance review, policy change</w:t>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X hrs/week</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1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1"/>
        <w:spacing w:before="360" w:after="120"/>
      </w:pPr>
      <w:r>
        <w:rPr>
          <w:b/>
          <w:color w:val="F89728"/>
          <w:sz w:val="32"/>
          <w:szCs w:val="32"/>
          <w:rFonts w:ascii="Poppins" w:hAnsi="Poppins"/>
        </w:rPr>
        <w:t xml:space="preserve">12.  </w:t>
      </w:r>
      <w:r>
        <w:rPr>
          <w:b/>
          <w:color w:val="1F2D58"/>
          <w:sz w:val="32"/>
          <w:szCs w:val="32"/>
          <w:rFonts w:ascii="Poppins" w:hAnsi="Poppins"/>
        </w:rPr>
        <w:t xml:space="preserve">Testing &amp; implementation</w:t>
      </w:r>
    </w:p>
    <w:p>
      <w:pPr>
        <w:pStyle w:val="Heading2"/>
        <w:spacing w:before="240" w:after="80"/>
      </w:pPr>
      <w:r>
        <w:rPr>
          <w:b/>
          <w:color w:val="1F2D58"/>
          <w:sz w:val="24"/>
          <w:szCs w:val="24"/>
          <w:rFonts w:ascii="Poppins" w:hAnsi="Poppins"/>
        </w:rPr>
        <w:t xml:space="preserve">12.1 Test plan</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what will be tested, by whom, against which requirements. Reference the test plan document if separate.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Test area</w:t>
            </w:r>
          </w:p>
        </w:tc>
        <w:tc>
          <w:tcPr>
            <w:tcW w:w="39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Verifies</w:t>
            </w:r>
          </w:p>
        </w:tc>
        <w:tc>
          <w:tcPr>
            <w:tcW w:w="27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Method</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session wipe</w:t>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BR-02: no data persists between users</w:t>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Scripted session, forensic check of profile paths</w:t>
            </w:r>
          </w:p>
        </w:tc>
      </w:tr>
      <w:tr>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39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7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pPr>
        <w:pStyle w:val="Heading2"/>
        <w:spacing w:before="240" w:after="80"/>
      </w:pPr>
      <w:r>
        <w:rPr>
          <w:b/>
          <w:color w:val="1F2D58"/>
          <w:sz w:val="24"/>
          <w:szCs w:val="24"/>
          <w:rFonts w:ascii="Poppins" w:hAnsi="Poppins"/>
        </w:rPr>
        <w:t xml:space="preserve">12.2 Implementation strategy</w:t>
      </w:r>
    </w:p>
    <w:p>
      <w:pPr>
        <w:spacing w:before="0" w:after="120"/>
      </w:pPr>
      <w:r>
        <w:rPr>
          <w:b/>
          <w:color w:val="F89728"/>
          <w:sz w:val="21"/>
          <w:szCs w:val="21"/>
          <w:rFonts w:ascii="Mulish" w:hAnsi="Mulish"/>
        </w:rPr>
        <w:t xml:space="preserve">Example — </w:t>
      </w:r>
      <w:r>
        <w:rPr>
          <w:color w:val="2A3040"/>
          <w:sz w:val="21"/>
          <w:szCs w:val="21"/>
          <w:rFonts w:ascii="Mulish" w:hAnsi="Mulish"/>
        </w:rPr>
        <w:t xml:space="preserve">Build order: certificate issuance → management-plane configuration → pilot site (2 devices, 2 weeks) → staged rollout by region. Policies run report-only for two weeks before enforcement.</w:t>
      </w:r>
    </w:p>
    <w:p>
      <w:pPr>
        <w:pStyle w:val="Heading2"/>
        <w:spacing w:before="240" w:after="80"/>
      </w:pPr>
      <w:r>
        <w:rPr>
          <w:b/>
          <w:color w:val="1F2D58"/>
          <w:sz w:val="24"/>
          <w:szCs w:val="24"/>
          <w:rFonts w:ascii="Poppins" w:hAnsi="Poppins"/>
        </w:rPr>
        <w:t xml:space="preserve">12.3 Training, release &amp; change management</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who needs training (site staff, service desk), how releases are packaged and approved, and which changes need CAB.</w:t>
      </w:r>
    </w:p>
    <w:p>
      <w:pPr>
        <w:pStyle w:val="Heading1"/>
        <w:spacing w:before="360" w:after="120"/>
      </w:pPr>
      <w:r>
        <w:rPr>
          <w:b/>
          <w:color w:val="F89728"/>
          <w:sz w:val="32"/>
          <w:szCs w:val="32"/>
          <w:rFonts w:ascii="Poppins" w:hAnsi="Poppins"/>
        </w:rPr>
        <w:t xml:space="preserve">13.  </w:t>
      </w:r>
      <w:r>
        <w:rPr>
          <w:b/>
          <w:color w:val="1F2D58"/>
          <w:sz w:val="32"/>
          <w:szCs w:val="32"/>
          <w:rFonts w:ascii="Poppins" w:hAnsi="Poppins"/>
        </w:rPr>
        <w:t xml:space="preserve">Statement of delivery impacts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from the detailed template — impact to production during delivery, impact on management information/reporting, and operational risk introduced by the change.</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Impact area</w:t>
            </w:r>
          </w:p>
        </w:tc>
        <w:tc>
          <w:tcPr>
            <w:tcW w:w="4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Description</w:t>
            </w:r>
          </w:p>
        </w:tc>
        <w:tc>
          <w:tcPr>
            <w:tcW w:w="24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Mitigation</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Example — production</w:t>
            </w:r>
          </w:p>
        </w:tc>
        <w:tc>
          <w:tcPr>
            <w:tcW w:w="4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Old equipment removed same day as cutover to avoid parallel unmanaged access</w:t>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Site-by-site cutover checklist</w:t>
            </w:r>
          </w:p>
        </w:tc>
      </w:tr>
      <w:tr>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4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c>
          <w:tcPr>
            <w:tcW w:w="24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
            </w:r>
          </w:p>
        </w:tc>
      </w:tr>
    </w:tbl>
    <w:p>
      <w:pPr>
        <w:spacing w:before="0" w:after="120"/>
      </w:pPr>
    </w:p>
    <w:p>
      <w:r>
        <w:br w:type="page"/>
      </w:r>
    </w:p>
    <w:p>
      <w:pPr>
        <w:pStyle w:val="Heading1"/>
        <w:spacing w:before="360" w:after="120"/>
      </w:pPr>
      <w:r>
        <w:rPr>
          <w:b/>
          <w:color w:val="F89728"/>
          <w:sz w:val="32"/>
          <w:szCs w:val="32"/>
          <w:rFonts w:ascii="Poppins" w:hAnsi="Poppins"/>
        </w:rPr>
        <w:t xml:space="preserve">A.  </w:t>
      </w:r>
      <w:r>
        <w:rPr>
          <w:b/>
          <w:color w:val="1F2D58"/>
          <w:sz w:val="32"/>
          <w:szCs w:val="32"/>
          <w:rFonts w:ascii="Poppins" w:hAnsi="Poppins"/>
        </w:rPr>
        <w:t xml:space="preserve">Appendix A — Terms &amp; abbreviations</w:t>
      </w:r>
    </w:p>
    <w:tbl>
      <w:tblPr>
        <w:tblW w:w="5000" w:type="pct"/>
        <w:tblBorders>
          <w:top w:val="single" w:sz="4" w:color="E3E6EE"/>
          <w:left w:val="single" w:sz="4" w:color="E3E6EE"/>
          <w:bottom w:val="single" w:sz="4" w:color="E3E6EE"/>
          <w:right w:val="single" w:sz="4" w:color="E3E6EE"/>
          <w:insideH w:val="single" w:sz="4" w:color="E3E6EE"/>
          <w:insideV w:val="single" w:sz="4" w:color="E3E6EE"/>
        </w:tblBorders>
      </w:tblPr>
      <w:tr>
        <w:trPr>
          <w:tblHeader/>
        </w:trPr>
        <w:tc>
          <w:tcPr>
            <w:tcW w:w="28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Term / abbreviation</w:t>
            </w:r>
          </w:p>
        </w:tc>
        <w:tc>
          <w:tcPr>
            <w:tcW w:w="6500" w:type="dxa"/>
            <w:shd w:val="clear" w:color="auto" w:fill="1F2D58"/>
            <w:tcMar>
              <w:top w:w="80" w:type="dxa"/>
              <w:left w:w="120" w:type="dxa"/>
              <w:bottom w:w="80" w:type="dxa"/>
              <w:right w:w="120" w:type="dxa"/>
            </w:tcMar>
            <w:vAlign w:val="center"/>
          </w:tcPr>
          <w:p>
            <w:pPr>
              <w:spacing w:before="0" w:after="0"/>
            </w:pPr>
            <w:r>
              <w:rPr>
                <w:b/>
                <w:color w:val="FFFFFF"/>
                <w:sz w:val="19"/>
                <w:szCs w:val="19"/>
                <w:rFonts w:ascii="Poppins" w:hAnsi="Poppins"/>
              </w:rPr>
              <w:t xml:space="preserve">Definition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CA</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Conditional Access (Microsoft Entra)</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HLD</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High Level Design</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ISM</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Information Security Manual (Australian Signals Directorate)</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PIM</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Privileged Identity Management</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RFFR</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Right Fit For Risk (DEWR accreditation framework)</w:t>
            </w:r>
          </w:p>
        </w:tc>
      </w:tr>
      <w:tr>
        <w:tc>
          <w:tcPr>
            <w:tcW w:w="28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ZIA</w:t>
            </w:r>
          </w:p>
        </w:tc>
        <w:tc>
          <w:tcPr>
            <w:tcW w:w="6500" w:type="dxa"/>
            <w:tcMar>
              <w:top w:w="80" w:type="dxa"/>
              <w:left w:w="120" w:type="dxa"/>
              <w:bottom w:w="80" w:type="dxa"/>
              <w:right w:w="120" w:type="dxa"/>
            </w:tcMar>
            <w:vAlign w:val="center"/>
          </w:tcPr>
          <w:p>
            <w:pPr>
              <w:spacing w:before="0" w:after="0"/>
            </w:pPr>
            <w:r>
              <w:rPr>
                <w:color w:val="2A3040"/>
                <w:sz w:val="21"/>
                <w:szCs w:val="21"/>
                <w:rFonts w:ascii="Mulish" w:hAnsi="Mulish"/>
              </w:rPr>
              <w:t xml:space="preserve">Zscaler Internet Access</w:t>
            </w:r>
          </w:p>
        </w:tc>
      </w:tr>
    </w:tbl>
    <w:p>
      <w:pPr>
        <w:spacing w:before="0" w:after="120"/>
      </w:pPr>
    </w:p>
    <w:p>
      <w:pPr>
        <w:pStyle w:val="Heading1"/>
        <w:spacing w:before="360" w:after="120"/>
      </w:pPr>
      <w:r>
        <w:rPr>
          <w:b/>
          <w:color w:val="F89728"/>
          <w:sz w:val="32"/>
          <w:szCs w:val="32"/>
          <w:rFonts w:ascii="Poppins" w:hAnsi="Poppins"/>
        </w:rPr>
        <w:t xml:space="preserve">B.  </w:t>
      </w:r>
      <w:r>
        <w:rPr>
          <w:b/>
          <w:color w:val="1F2D58"/>
          <w:sz w:val="32"/>
          <w:szCs w:val="32"/>
          <w:rFonts w:ascii="Poppins" w:hAnsi="Poppins"/>
        </w:rPr>
        <w:t xml:space="preserve">Appendix B — Implementation considerations</w:t>
      </w:r>
    </w:p>
    <w:p>
      <w:pPr>
        <w:spacing w:before="0" w:after="120"/>
      </w:pPr>
      <w:r>
        <w:rPr>
          <w:b/>
          <w:i/>
          <w:color w:val="8A90A5"/>
          <w:sz w:val="19"/>
          <w:szCs w:val="19"/>
          <w:rFonts w:ascii="Mulish" w:hAnsi="Mulish"/>
        </w:rPr>
        <w:t xml:space="preserve">What goes here: </w:t>
      </w:r>
      <w:r>
        <w:rPr>
          <w:i/>
          <w:color w:val="8A90A5"/>
          <w:sz w:val="19"/>
          <w:szCs w:val="19"/>
          <w:rFonts w:ascii="Mulish" w:hAnsi="Mulish"/>
        </w:rPr>
        <w:t xml:space="preserve">sequencing constraints, cutover notes, and anything the delivery team must know that doesn’t belong in the body sections.</w:t>
      </w:r>
    </w:p>
    <w:sectPr>
      <w:headerReference w:type="default" r:id="rIdHdr"/>
      <w:footerReference w:type="default" r:id="rIdFtr"/>
      <w:pgSz w:w="11906" w:h="16838"/>
      <w:pgMar w:top="1080" w:right="1080" w:bottom="1080" w:left="1080" w:header="480" w:footer="480" w:gutter="0"/>
    </w:sectPr>
  </w:body>
</w:document>
</file>

<file path=word/footer1.xml><?xml version="1.0" encoding="utf-8"?>
<w:ftr xmlns:w="http://schemas.openxmlformats.org/wordprocessingml/2006/main">
  <w:p>
    <w:pPr>
      <w:pBdr>
        <w:top w:val="single" w:sz="4" w:color="E3E6EE"/>
      </w:pBdr>
      <w:tabs>
        <w:tab w:val="center" w:pos="4875"/>
        <w:tab w:val="right" w:pos="9750"/>
      </w:tabs>
      <w:spacing w:before="60" w:after="0"/>
    </w:pPr>
    <w:r>
      <w:rPr>
        <w:color w:val="8A90A5"/>
        <w:sz w:val="16"/>
        <w:szCs w:val="16"/>
        <w:rFonts w:ascii="Mulish" w:hAnsi="Mulish"/>
      </w:rPr>
      <w:t xml:space="preserve">© APM — Commercial in confidence</w:t>
    </w:r>
    <w:r>
      <w:tab/>
    </w:r>
    <w:r>
      <w:rPr>
        <w:b/>
        <w:color w:val="F89728"/>
        <w:sz w:val="16"/>
        <w:szCs w:val="16"/>
        <w:rFonts w:ascii="Mulish" w:hAnsi="Mulish"/>
        <w:spacing w:val="30"/>
      </w:rPr>
      <w:t xml:space="preserve">FOR INTERNAL USE ONLY</w:t>
    </w:r>
    <w:r>
      <w:tab/>
    </w:r>
    <w:r>
      <w:rPr>
        <w:color w:val="8A90A5"/>
        <w:sz w:val="16"/>
      </w:rPr>
      <w:fldChar w:fldCharType="begin"/>
    </w:r>
    <w:r>
      <w:instrText xml:space="preserve"> PAGE </w:instrText>
    </w:r>
    <w:r>
      <w:fldChar w:fldCharType="end"/>
    </w:r>
  </w:p>
</w:ftr>
</file>

<file path=word/header1.xml><?xml version="1.0" encoding="utf-8"?>
<w:hdr xmlns:w="http://schemas.openxmlformats.org/wordprocessingml/2006/main">
  <w:p>
    <w:pPr>
      <w:pBdr>
        <w:bottom w:val="single" w:sz="4" w:color="E3E6EE"/>
      </w:pBdr>
      <w:tabs>
        <w:tab w:val="right" w:pos="9750"/>
      </w:tabs>
      <w:spacing w:after="60"/>
    </w:pPr>
    <w:r>
      <w:rPr>
        <w:b/>
        <w:color w:val="F89728"/>
        <w:sz w:val="20"/>
        <w:szCs w:val="20"/>
        <w:rFonts w:ascii="Poppins" w:hAnsi="Poppins"/>
      </w:rPr>
      <w:t xml:space="preserve">APM</w:t>
    </w:r>
    <w:r>
      <w:tab/>
    </w:r>
    <w:r>
      <w:rPr>
        <w:color w:val="8A90A5"/>
        <w:sz w:val="16"/>
        <w:szCs w:val="16"/>
        <w:rFonts w:ascii="Mulish" w:hAnsi="Mulish"/>
        <w:spacing w:val="30"/>
      </w:rPr>
      <w:t xml:space="preserve">HIGH LEVEL DESIGN — PROJECT NAME</w:t>
    </w:r>
  </w:p>
</w:hdr>
</file>

<file path=word/styles.xml><?xml version="1.0" encoding="utf-8"?>
<w:styles xmlns:w="http://schemas.openxmlformats.org/wordprocessingml/2006/main">
  <w:docDefaults>
    <w:rPrDefault>
      <w:rPr>
        <w:rFonts w:ascii="Mulish" w:hAnsi="Mulish"/>
        <w:sz w:val="21"/>
        <w:szCs w:val="21"/>
        <w:color w:val="2A3040"/>
      </w:rPr>
    </w:rPrDefault>
    <w:pPrDefault>
      <w:pPr>
        <w:spacing w:after="120" w:line="300" w:lineRule="auto"/>
      </w:pPr>
    </w:pPrDefault>
  </w:docDefaults>
  <w:style w:type="paragraph" w:default="1" w:styleId="Normal">
    <w:name w:val="Normal"/>
  </w:style>
  <w:style w:type="paragraph" w:styleId="Heading1">
    <w:name w:val="heading 1"/>
    <w:basedOn w:val="Normal"/>
    <w:pPr>
      <w:keepNext/>
      <w:outlineLvl w:val="0"/>
      <w:spacing w:before="360" w:after="120"/>
    </w:pPr>
    <w:rPr>
      <w:rFonts w:ascii="Poppins" w:hAnsi="Poppins"/>
      <w:b/>
      <w:color w:val="1F2D58"/>
      <w:sz w:val="32"/>
    </w:rPr>
  </w:style>
  <w:style w:type="paragraph" w:styleId="Heading2">
    <w:name w:val="heading 2"/>
    <w:basedOn w:val="Normal"/>
    <w:pPr>
      <w:keepNext/>
      <w:outlineLvl w:val="1"/>
      <w:spacing w:before="240" w:after="80"/>
    </w:pPr>
    <w:rPr>
      <w:rFonts w:ascii="Poppins" w:hAnsi="Poppins"/>
      <w:b/>
      <w:color w:val="1F2D58"/>
      <w:sz w:val="24"/>
    </w:rPr>
  </w:style>
  <w:style w:type="paragraph" w:styleId="Heading3">
    <w:name w:val="heading 3"/>
    <w:basedOn w:val="Normal"/>
    <w:pPr>
      <w:keepNext/>
      <w:outlineLvl w:val="2"/>
      <w:spacing w:before="180" w:after="60"/>
    </w:pPr>
    <w:rPr>
      <w:rFonts w:ascii="Poppins" w:hAnsi="Poppins"/>
      <w:b/>
      <w:color w:val="1F2D58"/>
      <w:sz w:val="21"/>
    </w:rPr>
  </w:style>
  <w:style w:type="character" w:styleId="Hyperlink">
    <w:name w:val="Hyperlink"/>
    <w:rPr>
      <w:color w:val="1F2D58"/>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dr" Type="http://schemas.openxmlformats.org/officeDocument/2006/relationships/header" Target="header1.xml"/><Relationship Id="rIdFtr" Type="http://schemas.openxmlformats.org/officeDocument/2006/relationships/footer" Target="footer1.xml"/><Relationship Id="rIdLogo" Type="http://schemas.openxmlformats.org/officeDocument/2006/relationships/image" Target="media/logo.png"/><Relationship Id="rIdNet" Type="http://schemas.openxmlformats.org/officeDocument/2006/relationships/image" Target="media/network.png"/><Relationship Id="rIdSeq" Type="http://schemas.openxmlformats.org/officeDocument/2006/relationships/image" Target="media/sequence.png"/></Relationships>
</file>