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Example - USB Redirect Policy Exception (Validation)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Shaun Struik</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shaun.struik@twikicorp.example</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AVD/Nerdio Implementation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 Workplace</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pipeline validation</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V0.1</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N/A</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V0.1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13/08/2026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Pipeline validation draft</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Purpose, the decision being asked for, and audience by group.</w:t>
      </w:r>
    </w:p>
    <w:p>
      <w:pPr>
        <w:spacing w:after="80"/>
        <w:rPr>
          <w:sz w:val="8"/>
        </w:rPr>
      </w:pPr>
    </w:p>
    <w:p>
      <w:pPr>
        <w:pStyle w:val="Heading2"/>
      </w:pPr>
      <w:r>
        <w:t xml:space="preserve">1.1 Purpose</w:t>
      </w:r>
    </w:p>
    <w:p>
      <w:pPr>
        <w:spacing w:after="140" w:line="276" w:lineRule="auto"/>
      </w:pPr>
      <w:r>
        <w:rPr>
          <w:b/>
        </w:rPr>
        <w:t xml:space="preserve">Example.</w:t>
      </w:r>
      <w:r>
        <w:t xml:space="preserve"> This document provides a high-level logical and physical architecture view of the implementation of &lt;&lt;Solution Name&gt;&gt;, and defines any services required for satellite systems to integrate and coexist with the inherent ecosystem. Services are mapped to business use cases.</w:t>
      </w:r>
    </w:p>
    <w:p>
      <w:pPr>
        <w:pStyle w:val="Heading2"/>
      </w:pPr>
      <w:r>
        <w:t xml:space="preserve">1.2 Audience</w:t>
      </w:r>
    </w:p>
    <w:p>
      <w:pPr>
        <w:ind w:left="510" w:hanging="227"/>
        <w:spacing w:after="70" w:line="276" w:lineRule="auto"/>
      </w:pPr>
      <w:r>
        <w:t xml:space="preserve">•  </w:t>
      </w:r>
      <w:r>
        <w:t xml:space="preserve">Business Sponsor</w:t>
      </w:r>
    </w:p>
    <w:p>
      <w:pPr>
        <w:ind w:left="510" w:hanging="227"/>
        <w:spacing w:after="70" w:line="276" w:lineRule="auto"/>
      </w:pPr>
      <w:r>
        <w:t xml:space="preserve">•  </w:t>
      </w:r>
      <w:r>
        <w:t xml:space="preserve">Business Partners</w:t>
      </w:r>
    </w:p>
    <w:p>
      <w:pPr>
        <w:ind w:left="510" w:hanging="227"/>
        <w:spacing w:after="70" w:line="276" w:lineRule="auto"/>
      </w:pPr>
      <w:r>
        <w:t xml:space="preserve">•  </w:t>
      </w:r>
      <w:r>
        <w:t xml:space="preserve">Project Management Office</w:t>
      </w:r>
    </w:p>
    <w:p>
      <w:pPr>
        <w:ind w:left="510" w:hanging="227"/>
        <w:spacing w:after="70" w:line="276" w:lineRule="auto"/>
      </w:pPr>
      <w:r>
        <w:t xml:space="preserve">•  </w:t>
      </w:r>
      <w:r>
        <w:t xml:space="preserve">Digital Transformation &amp; Architecture</w:t>
      </w:r>
    </w:p>
    <w:p>
      <w:pPr>
        <w:ind w:left="510" w:hanging="227"/>
        <w:spacing w:after="70" w:line="276" w:lineRule="auto"/>
      </w:pPr>
      <w:r>
        <w:t xml:space="preserve">•  </w:t>
      </w:r>
      <w:r>
        <w:t xml:space="preserve">Digital Operations, Digital Delivery, Cyber Security</w:t>
      </w:r>
    </w:p>
    <w:p>
      <w:pPr>
        <w:pStyle w:val="Heading1"/>
        <w:pageBreakBefore/>
      </w:pPr>
      <w:r>
        <w:t xml:space="preserve">2. Overview</w:t>
      </w:r>
    </w:p>
    <w:p>
      <w:pPr>
        <w:pStyle w:val="Heading2"/>
      </w:pPr>
      <w:r>
        <w:t xml:space="preserve">2.1 Scope</w:t>
      </w:r>
    </w:p>
    <w:p>
      <w:pPr>
        <w:spacing w:after="140" w:line="276" w:lineRule="auto"/>
      </w:pPr>
      <w:r>
        <w:rPr>
          <w:b/>
        </w:rPr>
        <w:t xml:space="preserve">In scope</w:t>
      </w:r>
    </w:p>
    <w:p>
      <w:pPr>
        <w:ind w:left="510" w:hanging="227"/>
        <w:spacing w:after="70" w:line="276" w:lineRule="auto"/>
      </w:pPr>
      <w:r>
        <w:t xml:space="preserve">•  </w:t>
      </w:r>
      <w:r>
        <w:t xml:space="preserve">&lt;&lt;Capability, process or population included&gt;&gt;</w:t>
      </w:r>
    </w:p>
    <w:p>
      <w:pPr>
        <w:spacing w:after="140" w:line="276" w:lineRule="auto"/>
      </w:pPr>
      <w:r>
        <w:rPr>
          <w:b/>
        </w:rPr>
        <w:t xml:space="preserve">Out of scope</w:t>
      </w:r>
    </w:p>
    <w:p>
      <w:pPr>
        <w:ind w:left="510" w:hanging="227"/>
        <w:spacing w:after="70" w:line="276" w:lineRule="auto"/>
      </w:pPr>
      <w:r>
        <w:t xml:space="preserve">•  </w:t>
      </w:r>
      <w:r>
        <w:t xml:space="preserve">&lt;&lt;Explicitly excluded item&gt;&gt; - handled by &lt;&lt;other workstream&gt;&gt;</w:t>
      </w:r>
    </w:p>
    <w:p>
      <w:pPr>
        <w:pStyle w:val="Heading2"/>
      </w:pPr>
      <w:r>
        <w:t xml:space="preserve">2.2 Guiding Principles</w:t>
      </w:r>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Principle</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means in this design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&lt;&lt;Principle name&gt;&gt;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&lt;&lt;The design consequence&gt;&gt;</w:t>
            </w:r>
          </w:p>
        </w:tc>
      </w:tr>
    </w:tbl>
    <w:p>
      <w:pPr>
        <w:spacing w:after="160"/>
        <w:rPr>
          <w:sz w:val="8"/>
        </w:rPr>
      </w:pPr>
    </w:p>
    <w:p>
      <w:pPr>
        <w:pStyle w:val="Heading2"/>
      </w:pPr>
      <w:r>
        <w:t xml:space="preserve">2.3 Assumptions</w:t>
      </w:r>
    </w:p>
    <w:tbl>
      <w:tblPr>
        <w:tblStyle w:val="TableGrid"/>
        <w:tblW w:w="9360" w:type="dxa"/>
        <w:tblLayout w:type="fixed"/>
        <w:tblLook w:val="04A0" w:firstRow="1" w:lastRow="0" w:firstColumn="0" w:lastColumn="0" w:noHBand="0" w:noVBand="1"/>
      </w:tblPr>
      <w:tblGrid>
        <w:gridCol w:w="1000"/>
        <w:gridCol w:w="8360"/>
      </w:tblGrid>
      <w:tr>
        <w:trPr>
          <w:tblHeader/>
        </w:trPr>
        <w:tc>
          <w:tcPr>
            <w:tcW w:w="1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8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Assumption</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8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&lt;&lt;Assumption&gt;&gt;</w:t>
            </w:r>
          </w:p>
        </w:tc>
      </w:tr>
    </w:tbl>
    <w:p>
      <w:pPr>
        <w:spacing w:after="160"/>
        <w:rPr>
          <w:sz w:val="8"/>
        </w:rPr>
      </w:pPr>
    </w:p>
    <w:p>
      <w:pPr>
        <w:pStyle w:val="Heading1"/>
        <w:pageBreakBefore/>
      </w:pPr>
      <w:r>
        <w:t xml:space="preserve">3. Business Architecture</w:t>
      </w:r>
    </w:p>
    <w:p>
      <w:pPr>
        <w:pStyle w:val="Heading2"/>
      </w:pPr>
      <w:r>
        <w:t xml:space="preserve">3.1 Business Reference Architecture</w:t>
      </w:r>
    </w:p>
    <w:p>
      <w:pPr>
        <w:spacing w:after="140" w:line="276" w:lineRule="auto"/>
      </w:pPr>
      <w:r>
        <w:t xml:space="preserve">N/A - this example is a device-management policy change with no business capability model impact. See the Design Definition (§2, §3) for the business context this design implements.</w:t>
      </w:r>
    </w:p>
    <w:p>
      <w:pPr>
        <w:pStyle w:val="Heading2"/>
      </w:pPr>
      <w:r>
        <w:t xml:space="preserve">3.2 Business Requirements</w:t>
      </w:r>
    </w:p>
    <w:tbl>
      <w:tblPr>
        <w:tblStyle w:val="TableGrid"/>
        <w:tblW w:w="9360" w:type="dxa"/>
        <w:tblLayout w:type="fixed"/>
        <w:tblLook w:val="04A0" w:firstRow="1" w:lastRow="0" w:firstColumn="0" w:lastColumn="0" w:noHBand="0" w:noVBand="1"/>
      </w:tblPr>
      <w:tblGrid>
        <w:gridCol w:w="900"/>
        <w:gridCol w:w="4260"/>
        <w:gridCol w:w="420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Requirement</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Met by</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BR-01</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&lt;&lt;Functional requirement&gt;&gt;</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&lt;&lt;Section reference&gt;&gt;</w:t>
            </w:r>
          </w:p>
        </w:tc>
      </w:tr>
    </w:tbl>
    <w:p>
      <w:pPr>
        <w:spacing w:after="160"/>
        <w:rPr>
          <w:sz w:val="8"/>
        </w:rPr>
      </w:pPr>
    </w:p>
    <w:p>
      <w:pPr>
        <w:pStyle w:val="Heading2"/>
      </w:pPr>
      <w:r>
        <w:t xml:space="preserve">3.3 Gap Treatment</w:t>
      </w:r>
    </w:p>
    <w:p>
      <w:pPr>
        <w:spacing w:after="140" w:line="276" w:lineRule="auto"/>
      </w:pPr>
      <w:r>
        <w:t xml:space="preserve">N/A - no requirement gap identified for this example.</w:t>
      </w:r>
    </w:p>
    <w:p>
      <w:pPr>
        <w:pStyle w:val="Heading1"/>
        <w:pageBreakBefore/>
      </w:pPr>
      <w:r>
        <w:t xml:space="preserve">4. Application Architecture</w:t>
      </w:r>
    </w:p>
    <w:p>
      <w:pPr>
        <w:pStyle w:val="Heading2"/>
      </w:pPr>
      <w:r>
        <w:t xml:space="preserve">4.1 System Context Diagram</w:t>
      </w:r>
    </w:p>
    <w:p>
      <w:pPr>
        <w:spacing w:after="140" w:line="276" w:lineRule="auto"/>
      </w:pPr>
      <w:r>
        <w:t xml:space="preserve">N/A - no new application boundary is introduced; the solution is delivered entirely within the existing Intune/Entra ID management plane already in scope for the program.</w:t>
      </w:r>
    </w:p>
    <w:p>
      <w:pPr>
        <w:pStyle w:val="Heading2"/>
      </w:pPr>
      <w:r>
        <w:t xml:space="preserve">4.2 Solution/Product Component Inventory</w:t>
      </w:r>
    </w:p>
    <w:tbl>
      <w:tblPr>
        <w:tblStyle w:val="TableGrid"/>
        <w:tblW w:w="9360" w:type="dxa"/>
        <w:tblLayout w:type="fixed"/>
        <w:tblLook w:val="04A0" w:firstRow="1" w:lastRow="0" w:firstColumn="0" w:lastColumn="0" w:noHBand="0" w:noVBand="1"/>
      </w:tblPr>
      <w:tblGrid>
        <w:gridCol w:w="2300"/>
        <w:gridCol w:w="3760"/>
        <w:gridCol w:w="3300"/>
      </w:tblGrid>
      <w:tr>
        <w:trPr>
          <w:tblHeader/>
        </w:trPr>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Role in the solution</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Version / licensing / status</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configuration and compliance policy engine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licensing. Configuration change only</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&lt;&lt;Product name&gt;&gt;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&lt;&lt;Role&gt;&gt;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&lt;&lt;Version, licence, status&gt;&gt;</w:t>
            </w:r>
          </w:p>
        </w:tc>
      </w:tr>
    </w:tbl>
    <w:p>
      <w:pPr>
        <w:spacing w:after="160"/>
        <w:rPr>
          <w:sz w:val="8"/>
        </w:rPr>
      </w:pPr>
    </w:p>
    <w:p>
      <w:pPr>
        <w:pStyle w:val="Heading2"/>
      </w:pPr>
      <w:r>
        <w:t xml:space="preserve">4.3 Solution Interface Diagram</w:t>
      </w:r>
    </w:p>
    <w:p>
      <w:pPr>
        <w:spacing w:after="140" w:line="276" w:lineRule="auto"/>
      </w:pPr>
      <w:r>
        <w:t xml:space="preserve">N/A - no new interface is introduced.</w:t>
      </w:r>
    </w:p>
    <w:p>
      <w:pPr>
        <w:pStyle w:val="Heading2"/>
      </w:pPr>
      <w:r>
        <w:t xml:space="preserve">4.4 Solution/Product Interface Catalogue</w:t>
      </w:r>
    </w:p>
    <w:tbl>
      <w:tblPr>
        <w:tblStyle w:val="TableGrid"/>
        <w:tblW w:w="9360" w:type="dxa"/>
        <w:tblLayout w:type="fixed"/>
        <w:tblLook w:val="04A0" w:firstRow="1" w:lastRow="0" w:firstColumn="0" w:lastColumn="0" w:noHBand="0" w:noVBand="1"/>
      </w:tblPr>
      <w:tblGrid>
        <w:gridCol w:w="1000"/>
        <w:gridCol w:w="2200"/>
        <w:gridCol w:w="2760"/>
        <w:gridCol w:w="3400"/>
      </w:tblGrid>
      <w:tr>
        <w:trPr>
          <w:tblHeader/>
        </w:trPr>
        <w:tc>
          <w:tcPr>
            <w:tcW w:w="1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Interface</w:t>
            </w:r>
          </w:p>
        </w:tc>
        <w:tc>
          <w:tcPr>
            <w:tcW w:w="2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Pattern / protocol</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Notes</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&lt;&lt;Source&gt;&gt; to &lt;&lt;Target&gt;&gt;</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&lt;&lt;Pattern&gt;&gt;</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&lt;&lt;Detail&gt;&gt;</w:t>
            </w:r>
          </w:p>
        </w:tc>
      </w:tr>
    </w:tbl>
    <w:p>
      <w:pPr>
        <w:spacing w:after="160"/>
        <w:rPr>
          <w:sz w:val="8"/>
        </w:rPr>
      </w:pPr>
    </w:p>
    <w:p>
      <w:pPr>
        <w:pStyle w:val="Heading1"/>
        <w:pageBreakBefore/>
      </w:pPr>
      <w:r>
        <w:t xml:space="preserve">5. Technology Architecture</w:t>
      </w:r>
    </w:p>
    <w:p>
      <w:pPr>
        <w:pStyle w:val="Heading2"/>
      </w:pPr>
      <w:r>
        <w:t xml:space="preserve">5.1 Technology Component Standards</w:t>
      </w:r>
    </w:p>
    <w:tbl>
      <w:tblPr>
        <w:tblStyle w:val="TableGrid"/>
        <w:tblW w:w="9360" w:type="dxa"/>
        <w:tblLayout w:type="fixed"/>
        <w:tblLook w:val="04A0" w:firstRow="1" w:lastRow="0" w:firstColumn="0" w:lastColumn="0" w:noHBand="0" w:noVBand="1"/>
      </w:tblPr>
      <w:tblGrid>
        <w:gridCol w:w="1900"/>
        <w:gridCol w:w="2400"/>
        <w:gridCol w:w="2400"/>
        <w:gridCol w:w="26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TRM domain</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Product / version</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Approval status</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management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bl>
    <w:p>
      <w:pPr>
        <w:spacing w:after="160"/>
        <w:rPr>
          <w:sz w:val="8"/>
        </w:rPr>
      </w:pPr>
    </w:p>
    <w:p>
      <w:pPr>
        <w:pStyle w:val="Heading2"/>
      </w:pPr>
      <w:r>
        <w:t xml:space="preserve">5.2 Integration Standards and Patterns</w:t>
      </w:r>
    </w:p>
    <w:p>
      <w:pPr>
        <w:spacing w:after="140" w:line="276" w:lineRule="auto"/>
      </w:pPr>
      <w:r>
        <w:t xml:space="preserve">N/A - no new integration pattern is introduced by this example.</w:t>
      </w:r>
    </w:p>
    <w:p>
      <w:pPr>
        <w:pStyle w:val="Heading2"/>
      </w:pPr>
      <w:r>
        <w:t xml:space="preserve">5.3 Network &amp; Infrastructure Standards &amp; Patterns</w:t>
      </w:r>
    </w:p>
    <w:p>
      <w:pPr>
        <w:spacing w:after="140" w:line="276" w:lineRule="auto"/>
      </w:pPr>
      <w:r>
        <w:t xml:space="preserve">N/A - no network or infrastructure change; the policy applies over the existing managed device network path.</w:t>
      </w:r>
    </w:p>
    <w:p>
      <w:pPr>
        <w:pStyle w:val="Heading2"/>
      </w:pPr>
      <w:r>
        <w:t xml:space="preserve">5.4 Technology Component Deployment Patterns</w:t>
      </w:r>
    </w:p>
    <w:tbl>
      <w:tblPr>
        <w:tblStyle w:val="TableGrid"/>
        <w:tblW w:w="9360" w:type="dxa"/>
        <w:tblLayout w:type="fixed"/>
        <w:tblLook w:val="04A0" w:firstRow="1" w:lastRow="0" w:firstColumn="0" w:lastColumn="0" w:noHBand="0" w:noVBand="1"/>
      </w:tblPr>
      <w:tblGrid>
        <w:gridCol w:w="1600"/>
        <w:gridCol w:w="2600"/>
        <w:gridCol w:w="2600"/>
        <w:gridCol w:w="2560"/>
      </w:tblGrid>
      <w:tr>
        <w:trPr>
          <w:tblHeader/>
        </w:trPr>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Environment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Purpose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Deployment method</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Promotion gate</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 the new policy on a small device set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policy assignment to the pilot Entra ID group</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sign-off</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Production ring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Roll out to the full fleet</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Staged Intune assignment by ring</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record approval</w:t>
            </w:r>
          </w:p>
        </w:tc>
      </w:tr>
    </w:tbl>
    <w:p>
      <w:pPr>
        <w:spacing w:after="160"/>
        <w:rPr>
          <w:sz w:val="8"/>
        </w:rPr>
      </w:pPr>
    </w:p>
    <w:p>
      <w:pPr>
        <w:pStyle w:val="Heading1"/>
        <w:pageBreakBefore/>
      </w:pPr>
      <w:r>
        <w:t xml:space="preserve">6. Information &amp; Data Architecture</w:t>
      </w:r>
    </w:p>
    <w:p>
      <w:pPr>
        <w:pStyle w:val="Heading2"/>
      </w:pPr>
      <w:r>
        <w:t xml:space="preserve">6.1 Information Model</w:t>
      </w:r>
    </w:p>
    <w:p>
      <w:pPr>
        <w:spacing w:after="140" w:line="276" w:lineRule="auto"/>
      </w:pPr>
      <w:r>
        <w:t xml:space="preserve">N/A - this example creates or stores no new data entity.</w:t>
      </w:r>
    </w:p>
    <w:p>
      <w:pPr>
        <w:pStyle w:val="Heading2"/>
      </w:pPr>
      <w:r>
        <w:t xml:space="preserve">6.2 Information Classification</w:t>
      </w:r>
    </w:p>
    <w:p>
      <w:pPr>
        <w:spacing w:after="140" w:line="276" w:lineRule="auto"/>
      </w:pPr>
      <w:r>
        <w:t xml:space="preserve">N/A - no new information entity to classify.</w:t>
      </w:r>
    </w:p>
    <w:p>
      <w:pPr>
        <w:pStyle w:val="Heading2"/>
      </w:pPr>
      <w:r>
        <w:t xml:space="preserve">6.3 Analytics and Reporting Patterns</w:t>
      </w:r>
    </w:p>
    <w:p>
      <w:pPr>
        <w:spacing w:after="140" w:line="276" w:lineRule="auto"/>
      </w:pPr>
      <w:r>
        <w:t xml:space="preserve">N/A - reporting is via the existing Intune compliance dashboard; no new reporting pattern is introduced.</w:t>
      </w:r>
    </w:p>
    <w:p>
      <w:pPr>
        <w:pStyle w:val="Heading1"/>
        <w:pageBreakBefore/>
      </w:pPr>
      <w:r>
        <w:t xml:space="preserve">7. Cyber &amp; Security Architecture</w:t>
      </w:r>
    </w:p>
    <w:tbl>
      <w:tblPr>
        <w:tblStyle w:val="TableGrid"/>
        <w:tblW w:w="9360" w:type="dxa"/>
        <w:tblLayout w:type="fixed"/>
        <w:tblLook w:val="04A0" w:firstRow="1" w:lastRow="0" w:firstColumn="0" w:lastColumn="0" w:noHBand="0" w:noVBand="1"/>
      </w:tblPr>
      <w:tblGrid>
        <w:gridCol w:w="1900"/>
        <w:gridCol w:w="3400"/>
        <w:gridCol w:w="40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Domain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Control implemented</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Standard / obligation met</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Removable-storage (USB) access policy, applied by Intune device configuration profile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device hardening standard</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spacing w:after="140" w:line="276" w:lineRule="auto"/>
      </w:pPr>
      <w:r>
        <w:t xml:space="preserve">N/A - this is a configuration-only change to an existing managed service; the service tier of the underlying platform is unchanged.</w:t>
      </w:r>
    </w:p>
    <w:p>
      <w:pPr>
        <w:pStyle w:val="Heading2"/>
      </w:pPr>
      <w:r>
        <w:t xml:space="preserve">8.2 Service Availability</w:t>
      </w:r>
    </w:p>
    <w:p>
      <w:pPr>
        <w:spacing w:after="140" w:line="276" w:lineRule="auto"/>
      </w:pPr>
      <w:r>
        <w:t xml:space="preserve">N/A - no change to platform availability.</w:t>
      </w:r>
    </w:p>
    <w:p>
      <w:pPr>
        <w:pStyle w:val="Heading2"/>
      </w:pPr>
      <w:r>
        <w:t xml:space="preserve">8.3 Disaster Recovery &amp; Resilience</w:t>
      </w:r>
    </w:p>
    <w:p>
      <w:pPr>
        <w:spacing w:after="140" w:line="276" w:lineRule="auto"/>
      </w:pPr>
      <w:r>
        <w:t xml:space="preserve">N/A - the policy is defined in Intune, which carries its own platform-level resilience; no design-specific DR action is required.</w:t>
      </w:r>
    </w:p>
    <w:p>
      <w:pPr>
        <w:pStyle w:val="Heading1"/>
        <w:pageBreakBefore/>
      </w:pPr>
      <w:r>
        <w:t xml:space="preserve">9. Service Management</w:t>
      </w:r>
    </w:p>
    <w:p>
      <w:pPr>
        <w:pStyle w:val="Heading2"/>
      </w:pPr>
      <w:r>
        <w:t xml:space="preserve">9.1 Service Management Principles</w:t>
      </w:r>
    </w:p>
    <w:p>
      <w:pPr>
        <w:spacing w:after="140" w:line="276" w:lineRule="auto"/>
      </w:pPr>
      <w:r>
        <w:rPr>
          <w:b/>
        </w:rPr>
        <w:t xml:space="preserve">Example.</w:t>
      </w:r>
      <w:r>
        <w:t xml:space="preserve"> Support is via the existing Digital Operations Tier 1/2/3 model; no new support tier is introduced by this change.</w:t>
      </w:r>
    </w:p>
    <w:p>
      <w:pPr>
        <w:pStyle w:val="Heading2"/>
      </w:pPr>
      <w:r>
        <w:t xml:space="preserve">9.2 Monitoring, Logging, Reporting and Alerting</w:t>
      </w:r>
    </w:p>
    <w:tbl>
      <w:tblPr>
        <w:tblStyle w:val="TableGrid"/>
        <w:tblW w:w="9360" w:type="dxa"/>
        <w:tblLayout w:type="fixed"/>
        <w:tblLook w:val="04A0" w:firstRow="1" w:lastRow="0" w:firstColumn="0" w:lastColumn="0" w:noHBand="0" w:noVBand="1"/>
      </w:tblPr>
      <w:tblGrid>
        <w:gridCol w:w="2900"/>
        <w:gridCol w:w="2860"/>
        <w:gridCol w:w="360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Event</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Source</w:t>
            </w:r>
          </w:p>
        </w:tc>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Action and owner</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assignment failure</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device configuration report</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Tier 2, investigate within one business day</w:t>
            </w:r>
          </w:p>
        </w:tc>
      </w:tr>
    </w:tbl>
    <w:p>
      <w:pPr>
        <w:spacing w:after="160"/>
        <w:rPr>
          <w:sz w:val="8"/>
        </w:rPr>
      </w:pPr>
    </w:p>
    <w:p>
      <w:pPr>
        <w:pStyle w:val="Heading1"/>
        <w:pageBreakBefore/>
      </w:pPr>
      <w:r>
        <w:t xml:space="preserve">Appendix A: Terms &amp; Abbreviations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RBAC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Role-Based Access Control</w:t>
            </w:r>
          </w:p>
        </w:tc>
      </w:tr>
    </w:tbl>
    <w:p>
      <w:pPr>
        <w:spacing w:after="160"/>
        <w:rPr>
          <w:sz w:val="8"/>
        </w:rPr>
      </w:pP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