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r>
              <w:rPr>
                <w:b/>
              </w:rPr>
              <w:t xml:space="preserve">Example - USB Redirect Policy Exception (Validation)</w:t>
            </w: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Pr>
                <w:b/>
              </w:rPr>
              <w:t xml:space="preserve">Shaun Struik</w:t>
            </w:r>
          </w:p>
          <w:p w:rsidR="007B5AE7" w:rsidP="007B5AE7" w:rsidRDefault="00585A92" w14:paraId="00352117" w14:textId="77777777">
            <w:pPr>
              <w:spacing w:line="240" w:lineRule="auto"/>
            </w:pPr>
          </w:p>
          <w:p w:rsidRPr="00347E18" w:rsidR="00347E18" w:rsidP="00347E18" w:rsidRDefault="00347E18" w14:paraId="5A47AAF6" w14:textId="77777777">
            <w:pPr>
              <w:spacing w:line="240" w:lineRule="auto"/>
              <w:rPr>
                <w:b/>
                <w:bCs/>
              </w:rPr>
            </w:pPr>
          </w:p>
          <w:p w:rsidRPr="00B54CCB" w:rsidR="00CB74FD" w:rsidP="007B5AE7" w:rsidRDefault="00347E18" w14:paraId="3B413FFE" w14:textId="6876E8CF">
            <w:pPr>
              <w:spacing w:line="240" w:lineRule="auto"/>
            </w:pP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Pr>
                <w:b/>
              </w:rPr>
              <w:t xml:space="preserve">shaun.struik@twikicorp.example</w:t>
            </w:r>
          </w:p>
          <w:p w:rsidRPr="00B54CCB" w:rsidR="00347E18" w:rsidP="007B5AE7" w:rsidRDefault="00347E18" w14:paraId="347266E8" w14:textId="708660FD">
            <w:pPr>
              <w:spacing w:line="240" w:lineRule="auto"/>
            </w:pP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r>
              <w:rPr>
                <w:b/>
              </w:rPr>
              <w:t xml:space="preserve">AVD/Nerdio Implementation</w:t>
            </w: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r>
              <w:rPr>
                <w:b/>
              </w:rPr>
              <w:t xml:space="preserve">Digital Workplace</w:t>
            </w: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r>
              <w:rPr>
                <w:b/>
              </w:rPr>
              <w:t xml:space="preserve">Draft - pipeline validation</w:t>
            </w: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r>
              <w:rPr>
                <w:b/>
              </w:rPr>
              <w:t xml:space="preserve">V0.1</w:t>
            </w: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r>
              <w:rPr>
                <w:b/>
              </w:rPr>
              <w:t xml:space="preserve">N/A</w:t>
            </w: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V0.1</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Pipeline validation draft</w:t>
            </w: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Background</w:t>
      </w:r>
    </w:p>
    <w:p>
      <w:pPr>
        <w:spacing w:after="140" w:line="276" w:lineRule="auto"/>
      </w:pPr>
      <w:r>
        <w:rPr>
          <w:b/>
        </w:rPr>
        <w:t xml:space="preserve">Example.</w:t>
      </w:r>
      <w:r>
        <w:t xml:space="preserve"> &lt;&lt;Brief project summary: drivers, business goals, key technology outcomes.&gt;&gt;</w:t>
      </w:r>
    </w:p>
    <w:p>
      <w:pPr>
        <w:pStyle w:val="Heading2"/>
      </w:pPr>
      <w:r>
        <w:t xml:space="preserve">1.2 Purpose</w:t>
      </w:r>
    </w:p>
    <w:p>
      <w:pPr>
        <w:spacing w:after="140" w:line="276" w:lineRule="auto"/>
      </w:pPr>
      <w:r>
        <w:rPr>
          <w:b/>
        </w:rPr>
        <w:t xml:space="preserve">Example.</w:t>
      </w:r>
      <w:r>
        <w:t xml:space="preserve"> This document defines the technical architecture for the implementation, configuration and ongoing support of &lt;&lt;Project/Initiative&gt;&gt;: an Intune device configuration change applying Policy 1, Policy 2 and Policy 3 as standard, exempting Policy 4 (USB redirect) per the functional requirement allowing USB access, and introducing a new Policy 5 with the settings specified in section 5.</w:t>
      </w:r>
    </w:p>
    <w:p>
      <w:pPr>
        <w:pStyle w:val="Heading2"/>
      </w:pPr>
      <w:r>
        <w:t xml:space="preserve">1.3 Audience</w:t>
      </w:r>
    </w:p>
    <w:p>
      <w:pPr>
        <w:ind w:left="510" w:hanging="227"/>
        <w:spacing w:after="70" w:line="276" w:lineRule="auto"/>
      </w:pPr>
      <w:r>
        <w:t xml:space="preserve">•  </w:t>
      </w:r>
      <w:r>
        <w:t xml:space="preserve">Solution governance forums</w:t>
      </w:r>
    </w:p>
    <w:p>
      <w:pPr>
        <w:ind w:left="510" w:hanging="227"/>
        <w:spacing w:after="70" w:line="276" w:lineRule="auto"/>
      </w:pPr>
      <w:r>
        <w:t xml:space="preserve">•  </w:t>
      </w:r>
      <w:r>
        <w:t xml:space="preserve">Enterprise and Solution Architects</w:t>
      </w:r>
    </w:p>
    <w:p>
      <w:pPr>
        <w:ind w:left="510" w:hanging="227"/>
        <w:spacing w:after="70" w:line="276" w:lineRule="auto"/>
      </w:pPr>
      <w:r>
        <w:t xml:space="preserve">•  </w:t>
      </w:r>
      <w:r>
        <w:t xml:space="preserve">Project Managers</w:t>
      </w:r>
    </w:p>
    <w:p>
      <w:pPr>
        <w:ind w:left="510" w:hanging="227"/>
        <w:spacing w:after="70" w:line="276" w:lineRule="auto"/>
      </w:pPr>
      <w:r>
        <w:t xml:space="preserve">•  </w:t>
      </w:r>
      <w:r>
        <w:t xml:space="preserve">Administrators</w:t>
      </w:r>
    </w:p>
    <w:p>
      <w:pPr>
        <w:ind w:left="510" w:hanging="227"/>
        <w:spacing w:after="70" w:line="276" w:lineRule="auto"/>
      </w:pPr>
      <w:r>
        <w:t xml:space="preserve">•  </w:t>
      </w:r>
      <w:r>
        <w:t xml:space="preserve">Technical Subject Matter Experts</w:t>
      </w:r>
    </w:p>
    <w:p>
      <w:pPr>
        <w:ind w:left="510" w:hanging="227"/>
        <w:spacing w:after="70" w:line="276" w:lineRule="auto"/>
      </w:pPr>
      <w:r>
        <w:t xml:space="preserve">•  </w:t>
      </w:r>
      <w:r>
        <w:t xml:space="preserve">Developers and Integrators</w:t>
      </w:r>
    </w:p>
    <w:p>
      <w:pPr>
        <w:pStyle w:val="Heading1"/>
        <w:pageBreakBefore/>
      </w:pPr>
      <w:r>
        <w:t xml:space="preserve">2. Overview</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Assignment of Policy 1, Policy 2 and Policy 3 (standard SOE controls) to the target device group</w:t>
      </w:r>
    </w:p>
    <w:p>
      <w:pPr>
        <w:ind w:left="510" w:hanging="227"/>
        <w:spacing w:after="70" w:line="276" w:lineRule="auto"/>
      </w:pPr>
      <w:r>
        <w:t xml:space="preserve">•  </w:t>
      </w:r>
      <w:r>
        <w:t xml:space="preserve">Exemption of Policy 4 (USB redirect block) for the target device group, per functional requirement FR-&lt;&lt;n&gt;&gt;</w:t>
      </w:r>
    </w:p>
    <w:p>
      <w:pPr>
        <w:ind w:left="510" w:hanging="227"/>
        <w:spacing w:after="70" w:line="276" w:lineRule="auto"/>
      </w:pPr>
      <w:r>
        <w:t xml:space="preserve">•  </w:t>
      </w:r>
      <w:r>
        <w:t xml:space="preserve">Creation and assignment of Policy 5, the new configuration profile detailed in section 5</w:t>
      </w:r>
    </w:p>
    <w:p>
      <w:pPr>
        <w:spacing w:after="140" w:line="276" w:lineRule="auto"/>
      </w:pPr>
      <w:r>
        <w:rPr>
          <w:b/>
        </w:rPr>
        <w:t xml:space="preserve">Out of scope</w:t>
      </w:r>
    </w:p>
    <w:p>
      <w:pPr>
        <w:ind w:left="510" w:hanging="227"/>
        <w:spacing w:after="70" w:line="276" w:lineRule="auto"/>
      </w:pPr>
      <w:r>
        <w:t xml:space="preserve">•  </w:t>
      </w:r>
      <w:r>
        <w:t xml:space="preserve">Any change to the underlying hardware SOE image</w:t>
      </w:r>
    </w:p>
    <w:p>
      <w:pPr>
        <w:pStyle w:val="Heading2"/>
      </w:pPr>
      <w:r>
        <w:t xml:space="preserve">2.2 Systems Impacted</w:t>
      </w:r>
    </w:p>
    <w:p>
      <w:pPr>
        <w:spacing w:after="140" w:line="276" w:lineRule="auto"/>
      </w:pPr>
      <w:r>
        <w:t xml:space="preserve">Impact legend: Leverage - existing system used as is. Modify - existing system requires customisation. New - introduced as part of solution. Retire - removed as part of solution.</w:t>
      </w:r>
    </w:p>
    <w:tbl>
      <w:tblPr>
        <w:tblStyle w:val="TableGrid"/>
        <w:tblW w:w="9360" w:type="dxa"/>
        <w:tblLayout w:type="fixed"/>
        <w:tblLook w:val="04A0" w:firstRow="1" w:lastRow="0" w:firstColumn="0" w:lastColumn="0" w:noHBand="0" w:noVBand="1"/>
      </w:tblPr>
      <w:tblGrid>
        <w:gridCol w:w="2100"/>
        <w:gridCol w:w="1600"/>
        <w:gridCol w:w="3200"/>
        <w:gridCol w:w="24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System</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Type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Change Description</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Infrastructure Change</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device configuration profile (Policy 5) created; Policy 4 exclusion group created</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r>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device group created for the Policy 4 exclusion and Policy 5 assignment</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w:t>
            </w:r>
          </w:p>
        </w:tc>
      </w:tr>
    </w:tbl>
    <w:p>
      <w:pPr>
        <w:spacing w:after="160"/>
        <w:rPr>
          <w:sz w:val="8"/>
        </w:rPr>
      </w:pPr>
    </w:p>
    <w:p>
      <w:pPr>
        <w:pStyle w:val="Heading2"/>
      </w:pPr>
      <w:r>
        <w:t xml:space="preserve">2.3 Constraints, Assumptions, Dependencies and Risks</w:t>
      </w:r>
    </w:p>
    <w:p>
      <w:pPr>
        <w:pStyle w:val="Heading3"/>
      </w:pPr>
      <w:r>
        <w:t xml:space="preserve">2.3.1 Constraints</w:t>
      </w:r>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5 must not conflict with an existing enforced Intune profile on the same device scope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Reviewed against the existing profile inventory before assignment</w:t>
            </w:r>
          </w:p>
        </w:tc>
      </w:tr>
    </w:tbl>
    <w:p>
      <w:pPr>
        <w:spacing w:after="160"/>
        <w:rPr>
          <w:sz w:val="8"/>
        </w:rPr>
      </w:pPr>
    </w:p>
    <w:p>
      <w:pPr>
        <w:pStyle w:val="Heading3"/>
      </w:pPr>
      <w:r>
        <w:t xml:space="preserve">2.3.2 Assumptions</w:t>
      </w:r>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target device group membership is accurate at the time of assignment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by Digital Operations prior to rollout</w:t>
            </w:r>
          </w:p>
        </w:tc>
      </w:tr>
    </w:tbl>
    <w:p>
      <w:pPr>
        <w:spacing w:after="160"/>
        <w:rPr>
          <w:sz w:val="8"/>
        </w:rPr>
      </w:pPr>
    </w:p>
    <w:p>
      <w:pPr>
        <w:pStyle w:val="Heading3"/>
      </w:pPr>
      <w:r>
        <w:t xml:space="preserve">2.3.3 Dependencies</w:t>
      </w:r>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 creation must complete before Policy 5 assignment</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Sequenced in the deployment runbook</w:t>
            </w:r>
          </w:p>
        </w:tc>
      </w:tr>
    </w:tbl>
    <w:p>
      <w:pPr>
        <w:spacing w:after="160"/>
        <w:rPr>
          <w:sz w:val="8"/>
        </w:rPr>
      </w:pPr>
    </w:p>
    <w:p>
      <w:pPr>
        <w:pStyle w:val="Heading3"/>
      </w:pPr>
      <w:r>
        <w:t xml:space="preserve">2.3.4 Risks</w:t>
      </w:r>
    </w:p>
    <w:tbl>
      <w:tblPr>
        <w:tblStyle w:val="TableGrid"/>
        <w:tblW w:w="9360" w:type="dxa"/>
        <w:tblLayout w:type="fixed"/>
        <w:tblLook w:val="04A0" w:firstRow="1" w:lastRow="0" w:firstColumn="0" w:lastColumn="0" w:noHBand="0" w:noVBand="1"/>
      </w:tblPr>
      <w:tblGrid>
        <w:gridCol w:w="1400"/>
        <w:gridCol w:w="4160"/>
        <w:gridCol w:w="3800"/>
      </w:tblGrid>
      <w:tr>
        <w:trPr>
          <w:tblHeader/>
        </w:trPr>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Treatment</w:t>
            </w:r>
          </w:p>
        </w:tc>
      </w:tr>
      <w:tr>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RSK-001</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redirect exemption on the target group increases data-exfiltration surface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Accepted - scoped to the named device group only, logged and reviewed quarterly by Cyber Security</w:t>
            </w:r>
          </w:p>
        </w:tc>
      </w:tr>
    </w:tbl>
    <w:p>
      <w:pPr>
        <w:spacing w:after="160"/>
        <w:rPr>
          <w:sz w:val="8"/>
        </w:rPr>
      </w:pPr>
    </w:p>
    <w:p>
      <w:pPr>
        <w:pStyle w:val="Heading2"/>
      </w:pPr>
      <w:r>
        <w:t xml:space="preserve">2.4 Business Requirement Traceability Matrix</w:t>
      </w:r>
    </w:p>
    <w:p>
      <w:pPr>
        <w:pStyle w:val="Heading3"/>
      </w:pPr>
      <w:r>
        <w:t xml:space="preserve">2.4.1 Functional Requirements Validation</w:t>
      </w:r>
    </w:p>
    <w:tbl>
      <w:tblPr>
        <w:tblStyle w:val="TableGrid"/>
        <w:tblW w:w="9360" w:type="dxa"/>
        <w:tblLayout w:type="fixed"/>
        <w:tblLook w:val="04A0" w:firstRow="1" w:lastRow="0" w:firstColumn="0" w:lastColumn="0" w:noHBand="0" w:noVBand="1"/>
      </w:tblPr>
      <w:tblGrid>
        <w:gridCol w:w="900"/>
        <w:gridCol w:w="4260"/>
        <w:gridCol w:w="900"/>
        <w:gridCol w:w="236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Requirement</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Complies?</w:t>
            </w:r>
          </w:p>
        </w:tc>
        <w:tc>
          <w:tcPr>
            <w:tcW w:w="2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Comments</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storage devices must remain usable on the target device group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2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Delivered by the Policy 4 exemption in section 5</w:t>
            </w:r>
          </w:p>
        </w:tc>
      </w:tr>
    </w:tbl>
    <w:p>
      <w:pPr>
        <w:spacing w:after="160"/>
        <w:rPr>
          <w:sz w:val="8"/>
        </w:rPr>
      </w:pPr>
    </w:p>
    <w:p>
      <w:pPr>
        <w:pStyle w:val="Heading3"/>
      </w:pPr>
      <w:r>
        <w:t xml:space="preserve">2.4.2 Non-Functional Requirements Validation</w:t>
      </w:r>
    </w:p>
    <w:p>
      <w:pPr>
        <w:spacing w:after="140" w:line="276" w:lineRule="auto"/>
      </w:pPr>
      <w:r>
        <w:t xml:space="preserve">N/A - no non-functional requirement is impacted by this change.</w:t>
      </w:r>
    </w:p>
    <w:p>
      <w:pPr>
        <w:pStyle w:val="Heading1"/>
        <w:pageBreakBefore/>
      </w:pPr>
      <w:r>
        <w:t xml:space="preserve">4. Solution Design</w:t>
      </w:r>
    </w:p>
    <w:p>
      <w:pPr>
        <w:pStyle w:val="Heading2"/>
      </w:pPr>
      <w:r>
        <w:t xml:space="preserve">4.1 Solution Overview</w:t>
      </w:r>
    </w:p>
    <w:p>
      <w:pPr>
        <w:spacing w:after="140" w:line="276" w:lineRule="auto"/>
      </w:pPr>
      <w:r>
        <w:rPr>
          <w:b/>
        </w:rPr>
        <w:t xml:space="preserve">Example.</w:t>
      </w:r>
      <w:r>
        <w:t xml:space="preserve"> The solution assigns three existing Intune configuration profiles unchanged, excludes one existing profile from the target group, and introduces one new profile. No new application or service is introduced.</w:t>
      </w:r>
    </w:p>
    <w:p>
      <w:pPr>
        <w:pStyle w:val="Heading2"/>
      </w:pPr>
      <w:r>
        <w:t xml:space="preserve">4.2 Solution/Product Component Inventory</w:t>
      </w:r>
    </w:p>
    <w:tbl>
      <w:tblPr>
        <w:tblStyle w:val="TableGrid"/>
        <w:tblW w:w="9360" w:type="dxa"/>
        <w:tblLayout w:type="fixed"/>
        <w:tblLook w:val="04A0" w:firstRow="1" w:lastRow="0" w:firstColumn="0" w:lastColumn="0" w:noHBand="0" w:noVBand="1"/>
      </w:tblPr>
      <w:tblGrid>
        <w:gridCol w:w="2300"/>
        <w:gridCol w:w="3760"/>
        <w:gridCol w:w="3300"/>
      </w:tblGrid>
      <w:tr>
        <w:trPr>
          <w:tblHeader/>
        </w:trPr>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Role in the solution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Version / licensing / status</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1 - &lt;&lt;name&gt;&gt;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standard SOE control, applied unchanged</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Unchanged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Policy 2 - &lt;&lt;name&gt;&gt;</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standard SOE control, applied unchanged</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Unchanged</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3 - &lt;&lt;name&gt;&gt;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standard SOE control, applied unchanged</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Unchanged</w:t>
            </w:r>
          </w:p>
        </w:tc>
      </w:tr>
      <w:tr>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Policy 4 - USB redirect block</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control, excluded from the target device group</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Changed - exclusion group added</w:t>
            </w:r>
          </w:p>
        </w:tc>
      </w:tr>
      <w:tr>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5 - &lt;&lt;new policy name&gt;&gt;</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configuration profile, detailed in section 5 below</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bl>
    <w:p>
      <w:pPr>
        <w:spacing w:after="160"/>
        <w:rPr>
          <w:sz w:val="8"/>
        </w:rPr>
      </w:pPr>
    </w:p>
    <w:p>
      <w:pPr>
        <w:pStyle w:val="Heading2"/>
      </w:pPr>
      <w:r>
        <w:t xml:space="preserve">4.3 Detailed Solution Interface Diagram</w:t>
      </w:r>
    </w:p>
    <w:p>
      <w:pPr>
        <w:spacing w:after="140" w:line="276" w:lineRule="auto"/>
      </w:pPr>
      <w:r>
        <w:t xml:space="preserve">N/A - no new interface is introduced.</w:t>
      </w:r>
    </w:p>
    <w:p>
      <w:pPr>
        <w:pStyle w:val="Heading2"/>
      </w:pPr>
      <w:r>
        <w:t xml:space="preserve">4.4 Solution/Product Interface Catalogue</w:t>
      </w:r>
    </w:p>
    <w:p>
      <w:pPr>
        <w:spacing w:after="140" w:line="276" w:lineRule="auto"/>
      </w:pPr>
      <w:r>
        <w:t xml:space="preserve">N/A - no new interface is introduced.</w:t>
      </w:r>
    </w:p>
    <w:p>
      <w:pPr>
        <w:pStyle w:val="Heading1"/>
        <w:pageBreakBefore/>
      </w:pPr>
      <w:r>
        <w:t xml:space="preserve">5. Technology Architecture</w:t>
      </w:r>
    </w:p>
    <w:p>
      <w:pPr>
        <w:pStyle w:val="Heading2"/>
      </w:pPr>
      <w:r>
        <w:t xml:space="preserve">5.1 Technology Component Standards</w:t>
      </w:r>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r>
        <w:t xml:space="preserve">5.2 Network &amp; Infrastructure Standards &amp; Patterns</w:t>
      </w:r>
    </w:p>
    <w:p>
      <w:pPr>
        <w:spacing w:after="140" w:line="276" w:lineRule="auto"/>
      </w:pPr>
      <w:r>
        <w:t xml:space="preserve">N/A - no network or infrastructure change.</w:t>
      </w:r>
    </w:p>
    <w:p>
      <w:pPr>
        <w:pStyle w:val="Heading1"/>
        <w:pageBreakBefore/>
      </w:pPr>
      <w:r>
        <w:t xml:space="preserve">6. Infrastructure Overview</w:t>
      </w:r>
    </w:p>
    <w:p>
      <w:pPr>
        <w:spacing w:after="140" w:line="276" w:lineRule="auto"/>
      </w:pPr>
      <w:r>
        <w:t xml:space="preserve">N/A - no infrastructure component is introduced or changed by this example; the design is a device-management policy change delivered entirely through the existing Intune/Entra ID management plane.</w:t>
      </w:r>
    </w:p>
    <w:p>
      <w:pPr>
        <w:pStyle w:val="Heading2"/>
      </w:pPr>
      <w:r>
        <w:t xml:space="preserve">6.1 Network and Firewall Specifications</w:t>
      </w:r>
    </w:p>
    <w:p>
      <w:pPr>
        <w:pStyle w:val="Heading3"/>
      </w:pPr>
      <w:r>
        <w:t xml:space="preserve">6.1.1 Network Communications Diagram</w:t>
      </w:r>
    </w:p>
    <w:p>
      <w:pPr>
        <w:spacing w:after="140" w:line="276" w:lineRule="auto"/>
      </w:pPr>
      <w:r>
        <w:t xml:space="preserve">N/A</w:t>
      </w:r>
    </w:p>
    <w:p>
      <w:pPr>
        <w:pStyle w:val="Heading3"/>
      </w:pPr>
      <w:r>
        <w:t xml:space="preserve">6.1.2 IP Addressing</w:t>
      </w:r>
    </w:p>
    <w:p>
      <w:pPr>
        <w:spacing w:after="140" w:line="276" w:lineRule="auto"/>
      </w:pPr>
      <w:r>
        <w:t xml:space="preserve">N/A</w:t>
      </w:r>
    </w:p>
    <w:p>
      <w:pPr>
        <w:pStyle w:val="Heading3"/>
      </w:pPr>
      <w:r>
        <w:t xml:space="preserve">6.1.3 DNS Information</w:t>
      </w:r>
    </w:p>
    <w:p>
      <w:pPr>
        <w:spacing w:after="140" w:line="276" w:lineRule="auto"/>
      </w:pPr>
      <w:r>
        <w:t xml:space="preserve">N/A</w:t>
      </w:r>
    </w:p>
    <w:p>
      <w:pPr>
        <w:pStyle w:val="Heading3"/>
      </w:pPr>
      <w:r>
        <w:t xml:space="preserve">6.1.4 Load Balancing Specification</w:t>
      </w:r>
    </w:p>
    <w:p>
      <w:pPr>
        <w:spacing w:after="140" w:line="276" w:lineRule="auto"/>
      </w:pPr>
      <w:r>
        <w:t xml:space="preserve">N/A</w:t>
      </w:r>
    </w:p>
    <w:p>
      <w:pPr>
        <w:pStyle w:val="Heading3"/>
      </w:pPr>
      <w:r>
        <w:t xml:space="preserve">6.1.5 NAT Rules</w:t>
      </w:r>
    </w:p>
    <w:p>
      <w:pPr>
        <w:spacing w:after="140" w:line="276" w:lineRule="auto"/>
      </w:pPr>
      <w:r>
        <w:t xml:space="preserve">N/A</w:t>
      </w:r>
    </w:p>
    <w:p>
      <w:pPr>
        <w:pStyle w:val="Heading3"/>
      </w:pPr>
      <w:r>
        <w:t xml:space="preserve">6.1.6 Firewall Rules</w:t>
      </w:r>
    </w:p>
    <w:p>
      <w:pPr>
        <w:spacing w:after="140" w:line="276" w:lineRule="auto"/>
      </w:pPr>
      <w:r>
        <w:t xml:space="preserve">N/A</w:t>
      </w:r>
    </w:p>
    <w:p>
      <w:pPr>
        <w:pStyle w:val="Heading1"/>
        <w:pageBreakBefore/>
      </w:pPr>
      <w:r>
        <w:t xml:space="preserve">7. Database Specification</w:t>
      </w:r>
    </w:p>
    <w:p>
      <w:pPr>
        <w:spacing w:after="140" w:line="276" w:lineRule="auto"/>
      </w:pPr>
      <w:r>
        <w:t xml:space="preserve">N/A - no database component in scope.</w:t>
      </w:r>
    </w:p>
    <w:p>
      <w:pPr>
        <w:pStyle w:val="Heading1"/>
        <w:pageBreakBefore/>
      </w:pPr>
      <w:r>
        <w:t xml:space="preserve">8. Compute Specifications</w:t>
      </w:r>
    </w:p>
    <w:p>
      <w:pPr>
        <w:spacing w:after="140" w:line="276" w:lineRule="auto"/>
      </w:pPr>
      <w:r>
        <w:t xml:space="preserve">N/A - no compute component in scope.</w:t>
      </w:r>
    </w:p>
    <w:p>
      <w:pPr>
        <w:pStyle w:val="Heading1"/>
        <w:pageBreakBefore/>
      </w:pPr>
      <w:r>
        <w:t xml:space="preserve">9. PaaS Specification</w:t>
      </w:r>
    </w:p>
    <w:p>
      <w:pPr>
        <w:spacing w:after="140" w:line="276" w:lineRule="auto"/>
      </w:pPr>
      <w:r>
        <w:t xml:space="preserve">N/A - no PaaS component in scope.</w:t>
      </w:r>
    </w:p>
    <w:p>
      <w:pPr>
        <w:pStyle w:val="Heading1"/>
        <w:pageBreakBefore/>
      </w:pPr>
      <w:r>
        <w:t xml:space="preserve">10. Information &amp; Data Architecture</w:t>
      </w:r>
    </w:p>
    <w:p>
      <w:pPr>
        <w:spacing w:after="140" w:line="276" w:lineRule="auto"/>
      </w:pPr>
      <w:r>
        <w:t xml:space="preserve">N/A - no new information entity is created or classified by this example.</w:t>
      </w:r>
    </w:p>
    <w:p>
      <w:pPr>
        <w:pStyle w:val="Heading1"/>
        <w:pageBreakBefore/>
      </w:pPr>
      <w:r>
        <w:t xml:space="preserve">11. Cyber &amp; Security Architecture</w:t>
      </w:r>
    </w:p>
    <w:p>
      <w:pPr>
        <w:pStyle w:val="Heading2"/>
      </w:pPr>
      <w:r>
        <w:t xml:space="preserve">11.1 Data Security</w:t>
      </w:r>
    </w:p>
    <w:p>
      <w:pPr>
        <w:spacing w:after="140" w:line="276" w:lineRule="auto"/>
      </w:pPr>
      <w:r>
        <w:t xml:space="preserve">N/A - no new data classification introduced.</w:t>
      </w:r>
    </w:p>
    <w:p>
      <w:pPr>
        <w:pStyle w:val="Heading2"/>
      </w:pPr>
      <w:r>
        <w:t xml:space="preserve">11.2 RBAC Specification</w:t>
      </w:r>
    </w:p>
    <w:p>
      <w:pPr>
        <w:pStyle w:val="Heading3"/>
      </w:pPr>
      <w:r>
        <w:t xml:space="preserve">11.2.4 Azure Active Directory Groups</w:t>
      </w:r>
    </w:p>
    <w:tbl>
      <w:tblPr>
        <w:tblStyle w:val="TableGrid"/>
        <w:tblW w:w="9360" w:type="dxa"/>
        <w:tblLayout w:type="fixed"/>
        <w:tblLook w:val="04A0" w:firstRow="1" w:lastRow="0" w:firstColumn="0" w:lastColumn="0" w:noHBand="0" w:noVBand="1"/>
      </w:tblPr>
      <w:tblGrid>
        <w:gridCol w:w="3200"/>
        <w:gridCol w:w="3200"/>
        <w:gridCol w:w="2960"/>
      </w:tblGrid>
      <w:tr>
        <w:trPr>
          <w:tblHeader/>
        </w:trPr>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Group Name</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Rights</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Description</w:t>
            </w:r>
          </w:p>
        </w:tc>
      </w:tr>
      <w:tr>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sg-int-policy4-exclusion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Excluded from Policy 4 assignment</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Holds the devices/users approved for USB redirect under FR-01</w:t>
            </w:r>
          </w:p>
        </w:tc>
      </w:tr>
      <w:tr>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sg-int-policy5-assignment</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Policy 5</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scope for the new configuration profile</w:t>
            </w:r>
          </w:p>
        </w:tc>
      </w:tr>
    </w:tbl>
    <w:p>
      <w:pPr>
        <w:spacing w:after="160"/>
        <w:rPr>
          <w:sz w:val="8"/>
        </w:rPr>
      </w:pPr>
    </w:p>
    <w:p>
      <w:pPr>
        <w:pStyle w:val="Heading2"/>
      </w:pPr>
      <w:r>
        <w:t xml:space="preserve">11.3 Accounts</w:t>
      </w:r>
    </w:p>
    <w:p>
      <w:pPr>
        <w:spacing w:after="140" w:line="276" w:lineRule="auto"/>
      </w:pPr>
      <w:r>
        <w:t xml:space="preserve">N/A - no service, local or domain account is created by this example.</w:t>
      </w:r>
    </w:p>
    <w:p>
      <w:pPr>
        <w:pStyle w:val="Heading2"/>
      </w:pPr>
      <w:r>
        <w:t xml:space="preserve">11.4 Authentication</w:t>
      </w:r>
    </w:p>
    <w:p>
      <w:pPr>
        <w:pStyle w:val="Heading3"/>
      </w:pPr>
      <w:r>
        <w:t xml:space="preserve">11.4.2 Conditional Access Rules</w:t>
      </w:r>
    </w:p>
    <w:p>
      <w:pPr>
        <w:spacing w:after="140" w:line="276" w:lineRule="auto"/>
      </w:pPr>
      <w:r>
        <w:t xml:space="preserve">N/A - no Conditional Access policy is created or changed by this example.</w:t>
      </w:r>
    </w:p>
    <w:p>
      <w:pPr>
        <w:pStyle w:val="Heading2"/>
      </w:pPr>
      <w:r>
        <w:t xml:space="preserve">11.5 IDP Specification</w:t>
      </w:r>
    </w:p>
    <w:p>
      <w:pPr>
        <w:spacing w:after="140" w:line="276" w:lineRule="auto"/>
      </w:pPr>
      <w:r>
        <w:t xml:space="preserve">N/A - no identity provider configuration change.</w:t>
      </w:r>
    </w:p>
    <w:p>
      <w:pPr>
        <w:pStyle w:val="Heading1"/>
        <w:pageBreakBefore/>
      </w:pPr>
      <w:r>
        <w:t xml:space="preserve">12. Threat Management</w:t>
      </w:r>
    </w:p>
    <w:p>
      <w:pPr>
        <w:pStyle w:val="Heading2"/>
      </w:pPr>
      <w:r>
        <w:t xml:space="preserve">12.1 Endpoint Protection &amp; Antivirus</w:t>
      </w:r>
    </w:p>
    <w:p>
      <w:pPr>
        <w:spacing w:after="140" w:line="276" w:lineRule="auto"/>
      </w:pPr>
      <w:r>
        <w:t xml:space="preserve">N/A - no change to the endpoint protection baseline; Policy 5 is a device configuration profile, not a protection policy.</w:t>
      </w:r>
    </w:p>
    <w:p>
      <w:pPr>
        <w:pStyle w:val="Heading1"/>
        <w:pageBreakBefore/>
      </w:pPr>
      <w:r>
        <w:t xml:space="preserve">13. Disaster Recovery</w:t>
      </w:r>
    </w:p>
    <w:p>
      <w:pPr>
        <w:spacing w:after="140" w:line="276" w:lineRule="auto"/>
      </w:pPr>
      <w:r>
        <w:t xml:space="preserve">N/A - Intune configuration profiles are platform-managed with no design-specific backup or restore action required.</w:t>
      </w:r>
    </w:p>
    <w:p>
      <w:pPr>
        <w:pStyle w:val="Heading1"/>
        <w:pageBreakBefore/>
      </w:pPr>
      <w:r>
        <w:t xml:space="preserve">14 Build, Test and Release Management</w:t>
      </w:r>
    </w:p>
    <w:p>
      <w:pPr>
        <w:pStyle w:val="Heading2"/>
      </w:pPr>
      <w:r>
        <w:t xml:space="preserve">14.1 Repository and DevOps Tools</w:t>
      </w:r>
    </w:p>
    <w:p>
      <w:pPr>
        <w:spacing w:after="140" w:line="276" w:lineRule="auto"/>
      </w:pPr>
      <w:r>
        <w:t xml:space="preserve">N/A - this change is authored directly in the Intune admin centre; no code repository is used.</w:t>
      </w:r>
    </w:p>
    <w:p>
      <w:pPr>
        <w:pStyle w:val="Heading2"/>
      </w:pPr>
      <w:r>
        <w:t xml:space="preserve">14.3 Test Management</w:t>
      </w:r>
    </w:p>
    <w:p>
      <w:pPr>
        <w:pStyle w:val="Heading3"/>
      </w:pPr>
      <w:r>
        <w:t xml:space="preserve">14.3.1 Test Strategy/Plan</w:t>
      </w:r>
    </w:p>
    <w:tbl>
      <w:tblPr>
        <w:tblStyle w:val="TableGrid"/>
        <w:tblW w:w="9360" w:type="dxa"/>
        <w:tblLayout w:type="fixed"/>
        <w:tblLook w:val="04A0" w:firstRow="1" w:lastRow="0" w:firstColumn="0" w:lastColumn="0" w:noHBand="0" w:noVBand="1"/>
      </w:tblPr>
      <w:tblGrid>
        <w:gridCol w:w="900"/>
        <w:gridCol w:w="4860"/>
        <w:gridCol w:w="3600"/>
      </w:tblGrid>
      <w:tr>
        <w:trPr>
          <w:tblHeader/>
        </w:trPr>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ID</w:t>
            </w:r>
          </w:p>
        </w:tc>
        <w:tc>
          <w:tcPr>
            <w:tcW w:w="4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Test</w:t>
            </w:r>
          </w:p>
        </w:tc>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Pass criterion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Policy 5 applies to a pilot device in the target group</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5 settings report as Succeeded in Intune within 24 hours of assignment</w:t>
            </w:r>
          </w:p>
        </w:tc>
      </w:tr>
      <w:tr>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4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Confirm a USB storage device is usable on a pilot device in the Policy 4 exclusion group</w:t>
            </w:r>
          </w:p>
        </w:tc>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mounts and reads/writes without a policy-blocked notification</w:t>
            </w:r>
          </w:p>
        </w:tc>
      </w:tr>
      <w:tr>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4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 Policy 1, 2 and 3 remain applied and unaffected on the target group</w:t>
            </w:r>
          </w:p>
        </w:tc>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three report Succeeded with no configuration drift</w:t>
            </w:r>
          </w:p>
        </w:tc>
      </w:tr>
    </w:tbl>
    <w:p>
      <w:pPr>
        <w:spacing w:after="160"/>
        <w:rPr>
          <w:sz w:val="8"/>
        </w:rPr>
      </w:pPr>
    </w:p>
    <w:p>
      <w:pPr>
        <w:pStyle w:val="Heading1"/>
        <w:pageBreakBefore/>
      </w:pPr>
      <w:r>
        <w:t xml:space="preserve">15 Capacity Planning</w:t>
      </w:r>
    </w:p>
    <w:p>
      <w:pPr>
        <w:spacing w:after="140" w:line="276" w:lineRule="auto"/>
      </w:pPr>
      <w:r>
        <w:t xml:space="preserve">N/A - no compute, storage or memory capacity is introduced or changed by this example.</w:t>
      </w:r>
    </w:p>
    <w:p>
      <w:pPr>
        <w:pStyle w:val="Heading1"/>
        <w:pageBreakBefore/>
      </w:pPr>
      <w:r>
        <w:t xml:space="preserve">16. Service Management</w:t>
      </w:r>
    </w:p>
    <w:p>
      <w:pPr>
        <w:spacing w:after="140" w:line="276" w:lineRule="auto"/>
      </w:pPr>
      <w:r>
        <w:rPr>
          <w:b/>
        </w:rPr>
        <w:t xml:space="preserve">Example.</w:t>
      </w:r>
      <w:r>
        <w:t xml:space="preserve"> Support is via the existing Digital Operations Tier 1/2/3 model. Policy 5 and the Policy 4 exclusion are added to the Intune configuration knowledge article inventory; no new support tier is introduced.</w:t>
      </w: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RBAC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Role-Based Access Control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Functional Requirement</w:t>
            </w:r>
          </w:p>
        </w:tc>
      </w:tr>
    </w:tbl>
    <w:p>
      <w:pPr>
        <w:spacing w:after="160"/>
        <w:rPr>
          <w:sz w:val="8"/>
        </w:rPr>
      </w:pP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