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针对使用北信源内网桌面安全管理平台网管的解决方案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登陆北信源官网指定页面，下载“北信源专杀免疫工具”；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right="0" w:rightChars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下载链接：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07FA6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http://www.vrv.com.cn/index.php?m=content&amp;c=index&amp;a=lists&amp;catid=205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把“北信源专杀免疫工具”上传到服务器，或者将其拷贝到内网服务器的Software目录下，例如：C:\VRV\RegionManage\Distribute\Software；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right="0" w:rightChars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74310" cy="3416300"/>
            <wp:effectExtent l="0" t="0" r="2540" b="12700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62245" cy="2427605"/>
            <wp:effectExtent l="0" t="0" r="14605" b="10795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3、通过北信源内网安全管理平台为用户更新MS17-010的微软漏洞补丁；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首先，从微软官网下载补丁，或从北信源补丁服务器下载对应补丁；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然后，把补丁上传到服务器，或者把补丁拷贝到内网服务器Software目录下，例如：C:\VRV\RegionManage\Distribute\Software路径下。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最后，通过北信源文件分发策略，分发补丁；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73040" cy="2647950"/>
            <wp:effectExtent l="0" t="0" r="3810" b="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0500" cy="2637155"/>
            <wp:effectExtent l="0" t="0" r="6350" b="10795"/>
            <wp:docPr id="18" name="图片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6690" cy="2654300"/>
            <wp:effectExtent l="0" t="0" r="10160" b="12700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4、企业用户如对网络安全有更高要求，可选择以下操作：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（1）开启协议防火墙策略，自动禁止139,445端口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登陆北信源内网安全管理平台，管理控制中心-基本安全-主机安全策略-协议防火墙策略；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新建策略“协议防火墙策略”，对于标准版本的协议防火墙策略配置如下：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如下图所示：点击添加，并将添加好的策略进行分配；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62245" cy="2863850"/>
            <wp:effectExtent l="0" t="0" r="14605" b="12700"/>
            <wp:docPr id="20" name="图片 2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2880" cy="2861310"/>
            <wp:effectExtent l="0" t="0" r="13970" b="15240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6690" cy="2689225"/>
            <wp:effectExtent l="0" t="0" r="10160" b="15875"/>
            <wp:docPr id="22" name="图片 2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对于新版本协议防火墙，配置方式如下：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点击添加，并将添加好的策略进行分配；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6690" cy="2540635"/>
            <wp:effectExtent l="0" t="0" r="10160" b="12065"/>
            <wp:docPr id="23" name="图片 2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3040" cy="2608580"/>
            <wp:effectExtent l="0" t="0" r="3810" b="1270"/>
            <wp:docPr id="24" name="图片 2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3040" cy="2406015"/>
            <wp:effectExtent l="0" t="0" r="3810" b="13335"/>
            <wp:docPr id="25" name="图片 2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"http://mmbiz.qpic.cn/mmbiz_jpg/oXvnrmXAqZXdy9JGLkDM7Aulvcib7vuQ9FgvVTtdUlXRHv9p1iclylKqOtaREXaBFQj3eibYsShxkZoVFKY5ibQiagA/640?wx_fmt=jpeg&amp;tp=webp&amp;wxfrom=5&amp;wx_lazy=1"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这样445端口就全部禁用了，139端口添加方式相同；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在防火墙或者交换机上把445端口封堵，具体方法见对应产品操作手册。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（2）开启进程执行监控策略，自动禁止病毒加密进程tasksche.exe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登陆北信源内网安全管理平台，管理控制中心-基本安全-进程及软件管理-进程执行监控；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新增“进程执行监控策略”策略配置如下：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420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64150" cy="2649855"/>
            <wp:effectExtent l="0" t="0" r="12700" b="17145"/>
            <wp:docPr id="26" name="图片 2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点击添加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2405" cy="2695575"/>
            <wp:effectExtent l="0" t="0" r="4445" b="9525"/>
            <wp:docPr id="27" name="图片 2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62550" cy="2360930"/>
            <wp:effectExtent l="0" t="0" r="0" b="1270"/>
            <wp:docPr id="28" name="图片 2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"http://mmbiz.qpic.cn/mmbiz_jpg/oXvnrmXAqZXdy9JGLkDM7Aulvcib7vuQ9rCRic9u1cGicUftUN2evufqeJIlWMxoqn3DwdAyZcEd6Mhcz4WGvmokQ/640?wx_fmt=jpeg&amp;tp=webp&amp;wxfrom=5&amp;wx_lazy=1"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点击分配对象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829E"/>
    <w:multiLevelType w:val="singleLevel"/>
    <w:tmpl w:val="5918829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188323"/>
    <w:multiLevelType w:val="singleLevel"/>
    <w:tmpl w:val="591883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F1814"/>
    <w:rsid w:val="5F3152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2017-05-14T16:16:54Z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