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CTDI - Corporate Travel Dispatch Intelligence</w:t>
      </w:r>
    </w:p>
    <w:p>
      <w:r>
        <w:rPr>
          <w:b w:val="0"/>
          <w:i w:val="0"/>
          <w:sz w:val="22"/>
        </w:rPr>
        <w:t>Executive Summary — v1.5</w:t>
      </w:r>
    </w:p>
    <w:p>
      <w:r>
        <w:rPr>
          <w:b w:val="0"/>
          <w:i w:val="0"/>
          <w:sz w:val="22"/>
        </w:rPr>
        <w:t>Platform overview for investors, strategic acquirers, and white-label partners</w:t>
      </w:r>
    </w:p>
    <w:p>
      <w:r>
        <w:rPr>
          <w:b w:val="0"/>
          <w:i w:val="0"/>
          <w:sz w:val="22"/>
        </w:rPr>
        <w:t>CS Executive Services, LLC · Arlington, VA · August 2026 · info@example.com</w:t>
      </w:r>
    </w:p>
    <w:p>
      <w:r>
        <w:rPr>
          <w:b/>
          <w:i w:val="0"/>
          <w:sz w:val="22"/>
        </w:rPr>
        <w:t>How to read this document.</w:t>
      </w:r>
      <w:r>
        <w:rPr>
          <w:b w:val="0"/>
          <w:i w:val="0"/>
          <w:sz w:val="22"/>
        </w:rPr>
        <w:t xml:space="preserve"> Every factual claim below was re-derived from a live re-verification of the running production system performed on 2026-08-24 (continuing the v1.1 → 2026-08-09 → 2026-08-24 verification chain), from a bounded security re-validation and adversarial re-verification completed the same day, and from a live-recomputed cost analysis. Counts that drift continuously (rows, containers, commits) are timestamped samples, not fixed facts. Where something is not built, it says so.</w:t>
      </w:r>
    </w:p>
    <w:p>
      <w:pPr>
        <w:pStyle w:val="Heading1"/>
      </w:pPr>
      <w:r>
        <w:t>What CTDI is</w:t>
      </w:r>
    </w:p>
    <w:p>
      <w:r>
        <w:rPr>
          <w:b w:val="0"/>
          <w:i w:val="0"/>
          <w:sz w:val="22"/>
        </w:rPr>
        <w:t>CTDI (Corporate Travel Dispatch Intelligence) is a 24/7 self-hosted operational dispatch-intelligence platform built and operated by the operator (USMC veteran; owner, CS Executive Services, LLC, Arlington, VA). It ingests aviation, rail, weather, and airspace data — including all six FAA SWIM data services under real, approved credentials — computes a deterministic go/no-go operational risk score (the CPS, Critical Predictability State), and pushes real-time alerts to operators. It was built to run the founder's own executive-chauffeur operation and is being packaged for white-label use by ground-transportation and executive-services operators.</w:t>
      </w:r>
    </w:p>
    <w:p>
      <w:r>
        <w:rPr>
          <w:b w:val="0"/>
          <w:i w:val="0"/>
          <w:sz w:val="22"/>
        </w:rPr>
        <w:t>The whole-stack story, at current scale: a solo founder-operator designed, built, secured, and runs a multi-domain intelligence platform — 51,070 lines of Python, a 27-component React PWA, 102 REST route registrations, 21 dedicated local LLM models, and a compiled semantic knowledge layer — on a single Raspberry Pi 5 at the network edge. 635 commits, June 7 through August 24, 2026, single author. The signed 706-file code manifest was re-verified the morning of this document's fact-check.</w:t>
      </w:r>
    </w:p>
    <w:p>
      <w:r>
        <w:rPr>
          <w:b w:val="0"/>
          <w:i w:val="0"/>
          <w:sz w:val="22"/>
        </w:rPr>
        <w:t>Evidence discipline is the house style: capability claims are graded (live-verified, code-complete, or roadmap), the platform's own documentation records its incidents and open decisions rather than hiding them, and this document carries its caveats in the body, not in footnotes.</w:t>
      </w:r>
    </w:p>
    <w:p>
      <w:pPr>
        <w:pStyle w:val="Heading1"/>
      </w:pPr>
      <w:r>
        <w:t>Verified capability snapshot (2026-08-24)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Observed live 2026-08-24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Service health</w:t>
            </w:r>
          </w:p>
        </w:tc>
        <w:tc>
          <w:tcPr>
            <w:tcW w:type="dxa" w:w="2880"/>
          </w:tcPr>
          <w:p>
            <w:r>
              <w:t>/healthz ok, data snapshot age 3 seconds; CPS GREEN/GO; 38 rootless containers running at check (count swings ~30-40 by design as timers fire and load-governors act)</w:t>
            </w:r>
          </w:p>
        </w:tc>
        <w:tc>
          <w:tcPr>
            <w:tcW w:type="dxa" w:w="2880"/>
          </w:tcPr>
          <w:p>
            <w:r>
              <w:t>LIVE and VERIFIED</w:t>
            </w:r>
          </w:p>
        </w:tc>
      </w:tr>
      <w:tr>
        <w:tc>
          <w:tcPr>
            <w:tcW w:type="dxa" w:w="2880"/>
          </w:tcPr>
          <w:p>
            <w:r>
              <w:t>CPS risk engine</w:t>
            </w:r>
          </w:p>
        </w:tc>
        <w:tc>
          <w:tcPr>
            <w:tcW w:type="dxa" w:w="2880"/>
          </w:tcPr>
          <w:p>
            <w:r>
              <w:t>GREEN/GO across 6 deterministic factors; 288-line auditable rule engine anchored to published Part 135.609 minimums as a conservative threshold reference; 1,141 historical scores retained</w:t>
            </w:r>
          </w:p>
        </w:tc>
        <w:tc>
          <w:tcPr>
            <w:tcW w:type="dxa" w:w="2880"/>
          </w:tcPr>
          <w:p>
            <w:r>
              <w:t>LIVE and VERIFIED</w:t>
            </w:r>
          </w:p>
        </w:tc>
      </w:tr>
      <w:tr>
        <w:tc>
          <w:tcPr>
            <w:tcW w:type="dxa" w:w="2880"/>
          </w:tcPr>
          <w:p>
            <w:r>
              <w:t>Feed freshness registry</w:t>
            </w:r>
          </w:p>
        </w:tc>
        <w:tc>
          <w:tcPr>
            <w:tcW w:type="dxa" w:w="2880"/>
          </w:tcPr>
          <w:p>
            <w:r>
              <w:t>19 feeds, each with age, staleness threshold, and error state</w:t>
            </w:r>
          </w:p>
        </w:tc>
        <w:tc>
          <w:tcPr>
            <w:tcW w:type="dxa" w:w="2880"/>
          </w:tcPr>
          <w:p>
            <w:r>
              <w:t>LIVE and VERIFIED</w:t>
            </w:r>
          </w:p>
        </w:tc>
      </w:tr>
      <w:tr>
        <w:tc>
          <w:tcPr>
            <w:tcW w:type="dxa" w:w="2880"/>
          </w:tcPr>
          <w:p>
            <w:r>
              <w:t>FAA SWIM ingest</w:t>
            </w:r>
          </w:p>
        </w:tc>
        <w:tc>
          <w:tcPr>
            <w:tcW w:type="dxa" w:w="2880"/>
          </w:tcPr>
          <w:p>
            <w:r>
              <w:t>All six SWIM data services (FDPS, TFMS, TBFM, STDDS, ITWS, AIM/FNS) provisioned with real credentials; all 7 ingest containers active and writing at check</w:t>
            </w:r>
          </w:p>
        </w:tc>
        <w:tc>
          <w:tcPr>
            <w:tcW w:type="dxa" w:w="2880"/>
          </w:tcPr>
          <w:p>
            <w:r>
              <w:t>LIVE and VERIFIED, with the availability caveat below</w:t>
            </w:r>
          </w:p>
        </w:tc>
      </w:tr>
      <w:tr>
        <w:tc>
          <w:tcPr>
            <w:tcW w:type="dxa" w:w="2880"/>
          </w:tcPr>
          <w:p>
            <w:r>
              <w:t>Accumulated operational corpus</w:t>
            </w:r>
          </w:p>
        </w:tc>
        <w:tc>
          <w:tcPr>
            <w:tcW w:type="dxa" w:w="2880"/>
          </w:tcPr>
          <w:p>
            <w:r>
              <w:t>839,101 flight events (32,459 in the prior 24 h, 1,270 distinct airlines, 30-day rolling retention); 822,317 train events; 5,424 NOTAMs across 308 facilities; 35,615 TBFM arrival-metering sequences; 120,071 surface-movement events; 24,588 NAS program records</w:t>
            </w:r>
          </w:p>
        </w:tc>
        <w:tc>
          <w:tcPr>
            <w:tcW w:type="dxa" w:w="2880"/>
          </w:tcPr>
          <w:p>
            <w:r>
              <w:t>LIVE and VERIFIED</w:t>
            </w:r>
          </w:p>
        </w:tc>
      </w:tr>
      <w:tr>
        <w:tc>
          <w:tcPr>
            <w:tcW w:type="dxa" w:w="2880"/>
          </w:tcPr>
          <w:p>
            <w:r>
              <w:t>Airspace and weather</w:t>
            </w:r>
          </w:p>
        </w:tc>
        <w:tc>
          <w:tcPr>
            <w:tcW w:type="dxa" w:w="2880"/>
          </w:tcPr>
          <w:p>
            <w:r>
              <w:t>121 active FAA TFRs at check; live METARs; NWS/NWWS-OI push alerts writing real DC-area products</w:t>
            </w:r>
          </w:p>
        </w:tc>
        <w:tc>
          <w:tcPr>
            <w:tcW w:type="dxa" w:w="2880"/>
          </w:tcPr>
          <w:p>
            <w:r>
              <w:t>LIVE and VERIFIED</w:t>
            </w:r>
          </w:p>
        </w:tc>
      </w:tr>
      <w:tr>
        <w:tc>
          <w:tcPr>
            <w:tcW w:type="dxa" w:w="2880"/>
          </w:tcPr>
          <w:p>
            <w:r>
              <w:t>Own-RF layer</w:t>
            </w:r>
          </w:p>
        </w:tc>
        <w:tc>
          <w:tcPr>
            <w:tcW w:type="dxa" w:w="2880"/>
          </w:tcPr>
          <w:p>
            <w:r>
              <w:t>ADS-B: 17 aircraft in view, ~108 messages/s at check. ACARS/VDL receive current to the minute (48,716-row rolling store). Fusion of ACARS into the platform DB is still pending an off-box fix — receive capability is claimed, DB fusion is not</w:t>
            </w:r>
          </w:p>
        </w:tc>
        <w:tc>
          <w:tcPr>
            <w:tcW w:type="dxa" w:w="2880"/>
          </w:tcPr>
          <w:p>
            <w:r>
              <w:t>LIVE (receive side); fusion DISCLOSED as pending</w:t>
            </w:r>
          </w:p>
        </w:tc>
      </w:tr>
      <w:tr>
        <w:tc>
          <w:tcPr>
            <w:tcW w:type="dxa" w:w="2880"/>
          </w:tcPr>
          <w:p>
            <w:r>
              <w:t>Local LLM intelligence layer</w:t>
            </w:r>
          </w:p>
        </w:tc>
        <w:tc>
          <w:tcPr>
            <w:tcW w:type="dxa" w:w="2880"/>
          </w:tcPr>
          <w:p>
            <w:r>
              <w:t>21 dedicated Ollama models on-device; 272 scheduled briefs in the prior 7 days; honest disclosure: 41.7% of all skill LLM calls in that window ran the labeled deterministic-template fallback under contention</w:t>
            </w:r>
          </w:p>
        </w:tc>
        <w:tc>
          <w:tcPr>
            <w:tcW w:type="dxa" w:w="2880"/>
          </w:tcPr>
          <w:p>
            <w:r>
              <w:t>LIVE, with fallback rate disclosed</w:t>
            </w:r>
          </w:p>
        </w:tc>
      </w:tr>
      <w:tr>
        <w:tc>
          <w:tcPr>
            <w:tcW w:type="dxa" w:w="2880"/>
          </w:tcPr>
          <w:p>
            <w:r>
              <w:t>Admin audit trail</w:t>
            </w:r>
          </w:p>
        </w:tc>
        <w:tc>
          <w:tcPr>
            <w:tcW w:type="dxa" w:w="2880"/>
          </w:tcPr>
          <w:p>
            <w:r>
              <w:t>32 audit-logged admin endpoints with actor/IP/payload capture and 90-day retention; 4,397 audit rows, 3,384 in the prior 24 h (this control had 12 rows total two weeks earlier)</w:t>
            </w:r>
          </w:p>
        </w:tc>
        <w:tc>
          <w:tcPr>
            <w:tcW w:type="dxa" w:w="2880"/>
          </w:tcPr>
          <w:p>
            <w:r>
              <w:t>LIVE and VERIFIED</w:t>
            </w:r>
          </w:p>
        </w:tc>
      </w:tr>
      <w:tr>
        <w:tc>
          <w:tcPr>
            <w:tcW w:type="dxa" w:w="2880"/>
          </w:tcPr>
          <w:p>
            <w:r>
              <w:t>Second brain / knowledge layer</w:t>
            </w:r>
          </w:p>
        </w:tc>
        <w:tc>
          <w:tcPr>
            <w:tcW w:type="dxa" w:w="2880"/>
          </w:tcPr>
          <w:p>
            <w:r>
              <w:t>6,742 indexed vault documents; compiled semantic layer of 99 concepts and 51,317 note-to-concept edges; causal derivation graph of 26,448 edges with multi-hop trace queries; recompiled daily by timer (that morning's run: success, 8.6 s)</w:t>
            </w:r>
          </w:p>
        </w:tc>
        <w:tc>
          <w:tcPr>
            <w:tcW w:type="dxa" w:w="2880"/>
          </w:tcPr>
          <w:p>
            <w:r>
              <w:t>LIVE and VERIFIED</w:t>
            </w:r>
          </w:p>
        </w:tc>
      </w:tr>
      <w:tr>
        <w:tc>
          <w:tcPr>
            <w:tcW w:type="dxa" w:w="2880"/>
          </w:tcPr>
          <w:p>
            <w:r>
              <w:t>Integrity chain</w:t>
            </w:r>
          </w:p>
        </w:tc>
        <w:tc>
          <w:tcPr>
            <w:tcW w:type="dxa" w:w="2880"/>
          </w:tcPr>
          <w:p>
            <w:r>
              <w:t>GPG-signed whole-tree manifest (706 files); 33 skill containers refuse to execute on any mismatch; 15-minute integrity sweep; drift checkers with their own blind spots documented rather than hidden</w:t>
            </w:r>
          </w:p>
        </w:tc>
        <w:tc>
          <w:tcPr>
            <w:tcW w:type="dxa" w:w="2880"/>
          </w:tcPr>
          <w:p>
            <w:r>
              <w:t>LIVE and VERIFIED</w:t>
            </w:r>
          </w:p>
        </w:tc>
      </w:tr>
      <w:tr>
        <w:tc>
          <w:tcPr>
            <w:tcW w:type="dxa" w:w="2880"/>
          </w:tcPr>
          <w:p>
            <w:r>
              <w:t>Test posture</w:t>
            </w:r>
          </w:p>
        </w:tc>
        <w:tc>
          <w:tcPr>
            <w:tcW w:type="dxa" w:w="2880"/>
          </w:tcPr>
          <w:p>
            <w:r>
              <w:t>218 tests, 217 passing (1 known pre-existing failure, tracked); still no CPS-engine unit test and no CI pipeline — both stated as gaps</w:t>
            </w:r>
          </w:p>
        </w:tc>
        <w:tc>
          <w:tcPr>
            <w:tcW w:type="dxa" w:w="2880"/>
          </w:tcPr>
          <w:p>
            <w:r>
              <w:t>DISCLOSED GAP</w:t>
            </w:r>
          </w:p>
        </w:tc>
      </w:tr>
    </w:tbl>
    <w:p>
      <w:r>
        <w:rPr>
          <w:b/>
          <w:i w:val="0"/>
          <w:sz w:val="22"/>
        </w:rPr>
        <w:t>The availability caveat that travels with every feed claim:</w:t>
      </w:r>
      <w:r>
        <w:rPr>
          <w:b w:val="0"/>
          <w:i w:val="0"/>
          <w:sz w:val="22"/>
        </w:rPr>
        <w:t xml:space="preserve"> the platform deliberately sheds its ingest tier under compute contention. In the ~32 hours before the 2026-08-24 check it executed 10 automatic "LOCKDOWN" shed-and-restore cycles of ~9-11 minutes each, every one restoring cleanly without intervention. Feeds are governed and duty-cycled under contention on this single node — they are not "always-on," and no SLA exists yet. Trigger calibration is a known, documented open tuning item.</w:t>
      </w:r>
    </w:p>
    <w:p>
      <w:pPr>
        <w:pStyle w:val="Heading1"/>
      </w:pPr>
      <w:r>
        <w:t>The economics: near-zero COGS against a five-figure subscription floor</w:t>
      </w:r>
    </w:p>
    <w:p>
      <w:r>
        <w:rPr>
          <w:b w:val="0"/>
          <w:i w:val="0"/>
          <w:sz w:val="22"/>
        </w:rPr>
        <w:t>New since the prior verification pass, and promoted to investor-facing at the founder's direction: a live-recomputed cost analysis (2026-08-24) in which every commercial price cites a dated vendor source, business-judgment figures are flagged as assumptions, and quote-only vendors are excluded from totals rather than guessed.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Figure</w:t>
            </w:r>
          </w:p>
        </w:tc>
      </w:tr>
      <w:tr>
        <w:tc>
          <w:tcPr>
            <w:tcW w:type="dxa" w:w="4320"/>
          </w:tcPr>
          <w:p>
            <w:r>
              <w:t>One-time hardware, actually deployed (single node, itemized BOM)</w:t>
            </w:r>
          </w:p>
        </w:tc>
        <w:tc>
          <w:tcPr>
            <w:tcW w:type="dxa" w:w="4320"/>
          </w:tcPr>
          <w:p>
            <w:r>
              <w:t>~$765</w:t>
            </w:r>
          </w:p>
        </w:tc>
      </w:tr>
      <w:tr>
        <w:tc>
          <w:tcPr>
            <w:tcW w:type="dxa" w:w="4320"/>
          </w:tcPr>
          <w:p>
            <w:r>
              <w:t>Actual recurring cost (electricity only; DC tariff re-confirmed 2026-08-24)</w:t>
            </w:r>
          </w:p>
        </w:tc>
        <w:tc>
          <w:tcPr>
            <w:tcW w:type="dxa" w:w="4320"/>
          </w:tcPr>
          <w:p>
            <w:r>
              <w:t>~$23-39 / yr</w:t>
            </w:r>
          </w:p>
        </w:tc>
      </w:tr>
      <w:tr>
        <w:tc>
          <w:tcPr>
            <w:tcW w:type="dxa" w:w="4320"/>
          </w:tcPr>
          <w:p>
            <w:r>
              <w:t>Recurring data-feed fees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  <w:tr>
        <w:tc>
          <w:tcPr>
            <w:tcW w:type="dxa" w:w="4320"/>
          </w:tcPr>
          <w:p>
            <w:r>
              <w:t>Recurring cloud-LLM spend</w:t>
            </w:r>
          </w:p>
        </w:tc>
        <w:tc>
          <w:tcPr>
            <w:tcW w:type="dxa" w:w="4320"/>
          </w:tcPr>
          <w:p>
            <w:r>
              <w:t>$0 — measured, not assumed: 25,147 logged LLM invocations over 46.4 days of continuous production contain zero cloud-model rows</w:t>
            </w:r>
          </w:p>
        </w:tc>
      </w:tr>
      <w:tr>
        <w:tc>
          <w:tcPr>
            <w:tcW w:type="dxa" w:w="4320"/>
          </w:tcPr>
          <w:p>
            <w:r>
              <w:t>Defensible avoided cost, this instance, conservative</w:t>
            </w:r>
          </w:p>
        </w:tc>
        <w:tc>
          <w:tcPr>
            <w:tcW w:type="dxa" w:w="4320"/>
          </w:tcPr>
          <w:p>
            <w:r>
              <w:t>~$2,160-2,655 / yr net</w:t>
            </w:r>
          </w:p>
        </w:tc>
      </w:tr>
      <w:tr>
        <w:tc>
          <w:tcPr>
            <w:tcW w:type="dxa" w:w="4320"/>
          </w:tcPr>
          <w:p>
            <w:r>
              <w:t>Subscription-replacement floor (purchasable subset of live capability)</w:t>
            </w:r>
          </w:p>
        </w:tc>
        <w:tc>
          <w:tcPr>
            <w:tcW w:type="dxa" w:w="4320"/>
          </w:tcPr>
          <w:p>
            <w:r>
              <w:t>~$55,200-112,900 / yr</w:t>
            </w:r>
          </w:p>
        </w:tc>
      </w:tr>
      <w:tr>
        <w:tc>
          <w:tcPr>
            <w:tcW w:type="dxa" w:w="4320"/>
          </w:tcPr>
          <w:p>
            <w:r>
              <w:t>Live capabilities not purchasable at any price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r>
        <w:rPr>
          <w:b w:val="0"/>
          <w:i w:val="0"/>
          <w:sz w:val="22"/>
        </w:rPr>
        <w:t>The one-line version: the platform runs on ~$765 of owned hardware and ~$23-39/yr of electricity, with $0 in data-feed fees and $0 in cloud-LLM spend, while the purchasable subset of its live capability lists at roughly $55k-113k/yr in commercial subscriptions — and its most operationally valuable elements cannot be bought at any price: TFMS ground-stop/GDP/airspace-flow-program data, TBFM arrival metering, ITWS terminal wind-shear alerts, unfiltered (LADD-unbound) blocked-aircraft visibility from its own receivers, receive-side ACARS, a permanently-owned longitudinal corpus (commercial term licenses require destruction on exit), scheduled LLM briefs over a private multi-source corpus, corroborated entity auto-promotion, and the signed-manifest execution gates.</w:t>
      </w:r>
    </w:p>
    <w:p>
      <w:r>
        <w:rPr>
          <w:b w:val="0"/>
          <w:i w:val="0"/>
          <w:sz w:val="22"/>
        </w:rPr>
        <w:t>Honest boundaries, stated with the numbers as the source analysis requires: most of the ingested data is free at the source to any approved subscriber, so the avoided cost is an integration cost, not a data-license cost — the $55k-113k figure is a replacement-cost floor for a buyer without FAA vetting, and must not be presented as avoided spend (the honest avoided-spend number is the $2.2-2.7k/yr line, roughly two-thirds of which is reciprocal data-sharing barter rather than cash). Cost avoidance does not carry a valuation, and the analysis says so.</w:t>
      </w:r>
    </w:p>
    <w:p>
      <w:pPr>
        <w:pStyle w:val="Heading1"/>
      </w:pPr>
      <w:r>
        <w:t>Security posture: tested, broken, fixed, re-verified — same day</w:t>
      </w:r>
    </w:p>
    <w:p>
      <w:r>
        <w:rPr>
          <w:b w:val="0"/>
          <w:i w:val="0"/>
          <w:sz w:val="22"/>
        </w:rPr>
        <w:t>Security is treated as a running discipline, not a checkbox, and the honest story is more credible than a clean-sheet claim: the platform's controls are re-tested against the live production system on a recurring cadence — bounded, non-destructive passes on 2026-08-13 and 2026-08-24 probed authorization boundaries, credential storage, and the integrity chain directly.</w:t>
      </w:r>
    </w:p>
    <w:p>
      <w:pPr>
        <w:pStyle w:val="ListBullet"/>
      </w:pPr>
      <w:r>
        <w:rPr>
          <w:b/>
          <w:i w:val="0"/>
        </w:rPr>
        <w:t>Every open finding from the prior (08-13) pass was closed and independently re-verified</w:t>
      </w:r>
      <w:r>
        <w:rPr>
          <w:b w:val="0"/>
          <w:i w:val="0"/>
        </w:rPr>
        <w:t xml:space="preserve"> — including its single highest-severity issue (an anonymously readable knowledge-vault surface), fixed at two independent layers (code-level tier gates plus restored edge access control) and confirmed by live external request.</w:t>
      </w:r>
    </w:p>
    <w:p>
      <w:pPr>
        <w:pStyle w:val="ListBullet"/>
      </w:pPr>
      <w:r>
        <w:rPr>
          <w:b/>
          <w:i w:val="0"/>
        </w:rPr>
        <w:t>Authorization held on every probe:</w:t>
      </w:r>
      <w:r>
        <w:rPr>
          <w:b w:val="0"/>
          <w:i w:val="0"/>
        </w:rPr>
        <w:t xml:space="preserve"> anonymous, forged-token, malformed-token, and spoofed-public-origin requests were all rejected; auth is bearer-token-only, and network origin grants no tier. Credentials exist only as one-way hashes; the secrets file is owner-only; git history is clean of credentials.</w:t>
      </w:r>
    </w:p>
    <w:p>
      <w:pPr>
        <w:pStyle w:val="ListBullet"/>
      </w:pPr>
      <w:r>
        <w:rPr>
          <w:b/>
          <w:i w:val="0"/>
        </w:rPr>
        <w:t>The 08-24 pass found new, real issues — and the find-fix-re-verify loop worked the same day.</w:t>
      </w:r>
      <w:r>
        <w:rPr>
          <w:b w:val="0"/>
          <w:i w:val="0"/>
        </w:rPr>
        <w:t xml:space="preserve"> A remediation made that day briefly introduced two genuine regressions on the public demo surface (a production-database mount and a shared chat file). The same day's re-verification pass caught both; both were structurally fixed at the mount layer; and a final adversarial pass — whose stated default was that every "resolved" label is wrong until skeptically disproved under header-injection, encoding, and config-drift pressure — reopened nothing and found no new exploitable exposure, verified against the actually-running containers rather than the config files.</w:t>
      </w:r>
    </w:p>
    <w:p>
      <w:pPr>
        <w:pStyle w:val="ListBullet"/>
      </w:pPr>
      <w:r>
        <w:rPr>
          <w:b/>
          <w:i w:val="0"/>
        </w:rPr>
        <w:t>Code that runs on the platform is gated by a signed whole-tree integrity chain</w:t>
      </w:r>
      <w:r>
        <w:rPr>
          <w:b w:val="0"/>
          <w:i w:val="0"/>
        </w:rPr>
        <w:t xml:space="preserve"> that refuses to execute on any mismatch; every administrative action is audit-logged.</w:t>
      </w:r>
    </w:p>
    <w:p>
      <w:r>
        <w:rPr>
          <w:b w:val="0"/>
          <w:i w:val="0"/>
          <w:sz w:val="22"/>
        </w:rPr>
        <w:t>What this is not, stated plainly: this is founder-run self-assessment using a bounded, non-destructive methodology — not an external red-team, and no compliance certification (SOC 2, ISO 27001) is claimed; an ISO 42001 alignment document exists as positioning, not certification. A first third-party penetration test is an un-started, fundable line item. Known open items are tracked, bounded, and documented: credential-lifecycle hygiene (issued tokens do not yet expire; one retired integration's admin token awaits revocation), a hardening candidate around edge-header trust, and two founder policy calls on deliberately-public read surfaces. None touches the production operational feeds or the credential store.</w:t>
      </w:r>
    </w:p>
    <w:p>
      <w:pPr>
        <w:pStyle w:val="Heading1"/>
      </w:pPr>
      <w:r>
        <w:t>Licensing and IP: Business Source License 1.1</w:t>
      </w:r>
    </w:p>
    <w:p>
      <w:r>
        <w:rPr>
          <w:b w:val="0"/>
          <w:i w:val="0"/>
          <w:sz w:val="22"/>
        </w:rPr>
        <w:t xml:space="preserve">New as of 2026-08-24, closing a gap the prior verification passes flagged repeatedly ("no LICENSE file"): the platform is now licensed under the </w:t>
      </w:r>
      <w:r>
        <w:rPr>
          <w:b/>
          <w:i w:val="0"/>
          <w:sz w:val="22"/>
        </w:rPr>
        <w:t>Business Source License 1.1</w:t>
      </w:r>
      <w:r>
        <w:rPr>
          <w:b w:val="0"/>
          <w:i w:val="0"/>
          <w:sz w:val="22"/>
        </w:rPr>
        <w:t xml:space="preserve"> (Licensor: CS Executive Services, LLC), verified as canonical, unmodified BSL text with a correctly-formed parameters block.</w:t>
      </w:r>
    </w:p>
    <w:p>
      <w:pPr>
        <w:pStyle w:val="ListBullet"/>
      </w:pPr>
      <w:r>
        <w:rPr>
          <w:b/>
          <w:i w:val="0"/>
        </w:rPr>
        <w:t>Free always</w:t>
      </w:r>
      <w:r>
        <w:rPr>
          <w:b w:val="0"/>
          <w:i w:val="0"/>
        </w:rPr>
        <w:t xml:space="preserve"> for non-production use — evaluation, development, testing.</w:t>
      </w:r>
    </w:p>
    <w:p>
      <w:pPr>
        <w:pStyle w:val="ListBullet"/>
      </w:pPr>
      <w:r>
        <w:rPr>
          <w:b/>
          <w:i w:val="0"/>
        </w:rPr>
        <w:t>Free in production</w:t>
      </w:r>
      <w:r>
        <w:rPr>
          <w:b w:val="0"/>
          <w:i w:val="0"/>
        </w:rPr>
        <w:t xml:space="preserve"> for personal self-hosted deployments, and for internal relay/middleware use by an organization of any size — provided that use never serves, supports, or contributes to any fee-based product or service rendered to a third-party client or customer.</w:t>
      </w:r>
    </w:p>
    <w:p>
      <w:pPr>
        <w:pStyle w:val="ListBullet"/>
      </w:pPr>
      <w:r>
        <w:rPr>
          <w:b/>
          <w:i w:val="0"/>
        </w:rPr>
        <w:t>Commercial license required</w:t>
      </w:r>
      <w:r>
        <w:rPr>
          <w:b w:val="0"/>
          <w:i w:val="0"/>
        </w:rPr>
        <w:t xml:space="preserve"> for hosted/managed/white-label/embedded resale, rebranding or redistribution, platform absorption, or any use — even invisibly, as an internal middleware step, and even when bundled into an overall fee or retainer — in connection with a fee-based client service. This is the deliberate revenue boundary: operators pay when CTDI touches their paid client work.</w:t>
      </w:r>
    </w:p>
    <w:p>
      <w:pPr>
        <w:pStyle w:val="ListBullet"/>
      </w:pPr>
      <w:r>
        <w:rPr>
          <w:b/>
          <w:i w:val="0"/>
        </w:rPr>
        <w:t>Becomes open source on a clock:</w:t>
      </w:r>
      <w:r>
        <w:rPr>
          <w:b w:val="0"/>
          <w:i w:val="0"/>
        </w:rPr>
        <w:t xml:space="preserve"> each version converts automatically to GPL v3-or-later four years after its first public distribution (Change Date for the current version: 2030-08-24). The IP is protected now and credibly open later — the BSL structure used by MariaDB, HashiCorp, and Sentry.</w:t>
      </w:r>
    </w:p>
    <w:p>
      <w:r>
        <w:rPr>
          <w:b w:val="0"/>
          <w:i w:val="0"/>
          <w:sz w:val="22"/>
        </w:rPr>
        <w:t>Disclosed: the Additional Use Grant language is a working draft currently under legal review; it reflects intended terms but has not yet been confirmed by counsel.</w:t>
      </w:r>
    </w:p>
    <w:p>
      <w:pPr>
        <w:pStyle w:val="Heading1"/>
      </w:pPr>
      <w:r>
        <w:t>Why it is defensible</w:t>
      </w:r>
    </w:p>
    <w:p>
      <w:pPr>
        <w:pStyle w:val="ListBullet"/>
      </w:pPr>
      <w:r>
        <w:rPr>
          <w:b/>
          <w:i w:val="0"/>
        </w:rPr>
        <w:t>Deterministic, auditable go/no-go scoring</w:t>
      </w:r>
      <w:r>
        <w:rPr>
          <w:b w:val="0"/>
          <w:i w:val="0"/>
        </w:rPr>
        <w:t xml:space="preserve"> anchored to a published federal minimum standard — explainable to clients, insurers, and lawyers, in deliberate contrast to black-box AI scoring. The CPS engine is a rule engine, not ML; the local LLM writes narrative around the data and never computes the score.</w:t>
      </w:r>
    </w:p>
    <w:p>
      <w:pPr>
        <w:pStyle w:val="ListBullet"/>
      </w:pPr>
      <w:r>
        <w:rPr>
          <w:b/>
          <w:i w:val="0"/>
        </w:rPr>
        <w:t>Data assets money cannot buy.</w:t>
      </w:r>
      <w:r>
        <w:rPr>
          <w:b w:val="0"/>
          <w:i w:val="0"/>
        </w:rPr>
        <w:t xml:space="preserve"> Six live FAA SWIM services (verified negative finding across every vendor checked: no commercial product sells TFMS flow programs, TBFM metering, or ITWS terminal alerts), own-RF visibility unbound by LADD filtering, and a permanently-owned longitudinal corpus that term-licensed alternatives contractually destroy on exit.</w:t>
      </w:r>
    </w:p>
    <w:p>
      <w:pPr>
        <w:pStyle w:val="ListBullet"/>
      </w:pPr>
      <w:r>
        <w:rPr>
          <w:b/>
          <w:i w:val="0"/>
        </w:rPr>
        <w:t>Sovereignty as a product property.</w:t>
      </w:r>
      <w:r>
        <w:rPr>
          <w:b w:val="0"/>
          <w:i w:val="0"/>
        </w:rPr>
        <w:t xml:space="preserve"> The entire stack — including 21 local LLM models — self-hosts on sub-$900 owned hardware with measured-zero cloud inference spend; attractive to privacy-sensitive executive-services and security-conscious buyers.</w:t>
      </w:r>
    </w:p>
    <w:p>
      <w:pPr>
        <w:pStyle w:val="ListBullet"/>
      </w:pPr>
      <w:r>
        <w:rPr>
          <w:b/>
          <w:i w:val="0"/>
        </w:rPr>
        <w:t>An integrity chain rare at any size:</w:t>
      </w:r>
      <w:r>
        <w:rPr>
          <w:b w:val="0"/>
          <w:i w:val="0"/>
        </w:rPr>
        <w:t xml:space="preserve"> GPG-signed whole-tree manifest gating skill execution and inference, tiered bearer-only auth, full admin audit logging, and a CUI/PII scrub gate that blocks rather than redacts.</w:t>
      </w:r>
    </w:p>
    <w:p>
      <w:pPr>
        <w:pStyle w:val="ListBullet"/>
      </w:pPr>
      <w:r>
        <w:rPr>
          <w:b/>
          <w:i w:val="0"/>
        </w:rPr>
        <w:t>A compounding knowledge layer.</w:t>
      </w:r>
      <w:r>
        <w:rPr>
          <w:b w:val="0"/>
          <w:i w:val="0"/>
        </w:rPr>
        <w:t xml:space="preserve"> The second brain accumulates operational memory (6,742 documents) under a compiled concept graph with causal derivation edges — correlations invisible to any real-time view, growing daily by timer.</w:t>
      </w:r>
    </w:p>
    <w:p>
      <w:pPr>
        <w:pStyle w:val="ListBullet"/>
      </w:pPr>
      <w:r>
        <w:rPr>
          <w:b/>
          <w:i w:val="0"/>
        </w:rPr>
        <w:t>Founder-market fit.</w:t>
      </w:r>
      <w:r>
        <w:rPr>
          <w:b w:val="0"/>
          <w:i w:val="0"/>
        </w:rPr>
        <w:t xml:space="preserve"> Built by the operator it serves; the platform has run the founder's real dispatch operation continuously since June 2026.</w:t>
      </w:r>
    </w:p>
    <w:p>
      <w:pPr>
        <w:pStyle w:val="Heading1"/>
      </w:pPr>
      <w:r>
        <w:t>Risk summary (stated plainly)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Facts</w:t>
            </w:r>
          </w:p>
        </w:tc>
      </w:tr>
      <w:tr>
        <w:tc>
          <w:tcPr>
            <w:tcW w:type="dxa" w:w="4320"/>
          </w:tcPr>
          <w:p>
            <w:r>
              <w:t>Bus factor = 1</w:t>
            </w:r>
          </w:p>
        </w:tc>
        <w:tc>
          <w:tcPr>
            <w:tcW w:type="dxa" w:w="4320"/>
          </w:tcPr>
          <w:p>
            <w:r>
              <w:t>Single developer-operator; 635 commits, one author; no CI pipeline. The funding ask explicitly includes a first engineering hire.</w:t>
            </w:r>
          </w:p>
        </w:tc>
      </w:tr>
      <w:tr>
        <w:tc>
          <w:tcPr>
            <w:tcW w:type="dxa" w:w="4320"/>
          </w:tcPr>
          <w:p>
            <w:r>
              <w:t>Single-node infrastructure</w:t>
            </w:r>
          </w:p>
        </w:tc>
        <w:tc>
          <w:tcPr>
            <w:tcW w:type="dxa" w:w="4320"/>
          </w:tcPr>
          <w:p>
            <w:r>
              <w:t>One Raspberry Pi 5 on residential power/ISP; no backup system, no second node, no documented disaster recovery. Every resource limit is tuned to this one box (documented single-edge-unit assumption set); scaling out means re-measuring, and DR is a priced roadmap item.</w:t>
            </w:r>
          </w:p>
        </w:tc>
      </w:tr>
      <w:tr>
        <w:tc>
          <w:tcPr>
            <w:tcW w:type="dxa" w:w="4320"/>
          </w:tcPr>
          <w:p>
            <w:r>
              <w:t>Availability posture</w:t>
            </w:r>
          </w:p>
        </w:tc>
        <w:tc>
          <w:tcPr>
            <w:tcW w:type="dxa" w:w="4320"/>
          </w:tcPr>
          <w:p>
            <w:r>
              <w:t>Feeds are deliberately duty-cycled under contention (10 shed/restore cycles in ~32 h at the 08-24 check); no SLA. Governor calibration is a documented open item.</w:t>
            </w:r>
          </w:p>
        </w:tc>
      </w:tr>
      <w:tr>
        <w:tc>
          <w:tcPr>
            <w:tcW w:type="dxa" w:w="4320"/>
          </w:tcPr>
          <w:p>
            <w:r>
              <w:t>Pre-revenue, demand not demonstrated</w:t>
            </w:r>
          </w:p>
        </w:tc>
        <w:tc>
          <w:tcPr>
            <w:tcW w:type="dxa" w:w="4320"/>
          </w:tcPr>
          <w:p>
            <w:r>
              <w:t>No billing, subscription, CRM, or entitlement code exists. The operational runsheet's newest entry records one trip — output is capacity, not yet realized demand.</w:t>
            </w:r>
          </w:p>
        </w:tc>
      </w:tr>
      <w:tr>
        <w:tc>
          <w:tcPr>
            <w:tcW w:type="dxa" w:w="4320"/>
          </w:tcPr>
          <w:p>
            <w:r>
              <w:t>Verification gaps</w:t>
            </w:r>
          </w:p>
        </w:tc>
        <w:tc>
          <w:tcPr>
            <w:tcW w:type="dxa" w:w="4320"/>
          </w:tcPr>
          <w:p>
            <w:r>
              <w:t>No dedicated CPS unit test; no CI; one known pre-existing test failure (tracked); several cost-analysis inputs are secondary-sourced and the largest true equivalents are quote-only.</w:t>
            </w:r>
          </w:p>
        </w:tc>
      </w:tr>
      <w:tr>
        <w:tc>
          <w:tcPr>
            <w:tcW w:type="dxa" w:w="4320"/>
          </w:tcPr>
          <w:p>
            <w:r>
              <w:t>Security assessment is internal</w:t>
            </w:r>
          </w:p>
        </w:tc>
        <w:tc>
          <w:tcPr>
            <w:tcW w:type="dxa" w:w="4320"/>
          </w:tcPr>
          <w:p>
            <w:r>
              <w:t>Bounded founder-run self-testing only; no third-party pentest or audit yet; token-expiry hygiene and two public-surface policy decisions open.</w:t>
            </w:r>
          </w:p>
        </w:tc>
      </w:tr>
      <w:tr>
        <w:tc>
          <w:tcPr>
            <w:tcW w:type="dxa" w:w="4320"/>
          </w:tcPr>
          <w:p>
            <w:r>
              <w:t>Licensing</w:t>
            </w:r>
          </w:p>
        </w:tc>
        <w:tc>
          <w:tcPr>
            <w:tcW w:type="dxa" w:w="4320"/>
          </w:tcPr>
          <w:p>
            <w:r>
              <w:t>BSL 1.1 in place, but the Additional Use Grant is under legal review — not yet counsel-confirmed.</w:t>
            </w:r>
          </w:p>
        </w:tc>
      </w:tr>
      <w:tr>
        <w:tc>
          <w:tcPr>
            <w:tcW w:type="dxa" w:w="4320"/>
          </w:tcPr>
          <w:p>
            <w:r>
              <w:t>Data provenance</w:t>
            </w:r>
          </w:p>
        </w:tc>
        <w:tc>
          <w:tcPr>
            <w:tcW w:type="dxa" w:w="4320"/>
          </w:tcPr>
          <w:p>
            <w:r>
              <w:t>FAA/NWS/NOAA data is public-domain or free-to-approved-subscriber (clean). DCA/IAD airport boards are scraped from undocumented JSON (fallback tier only); Amtrak is a community API; both need formalization or replacement for commercial deployment.</w:t>
            </w:r>
          </w:p>
        </w:tc>
      </w:tr>
      <w:tr>
        <w:tc>
          <w:tcPr>
            <w:tcW w:type="dxa" w:w="4320"/>
          </w:tcPr>
          <w:p>
            <w:r>
              <w:t>Regulatory posture</w:t>
            </w:r>
          </w:p>
        </w:tc>
        <w:tc>
          <w:tcPr>
            <w:tcW w:type="dxa" w:w="4320"/>
          </w:tcPr>
          <w:p>
            <w:r>
              <w:t>Decision-support software only. Not an FAA-certified dispatch system; Part 135.609 is used as a published threshold reference, not a compliance claim. Insurance, GDPR/DPA posture: not assessed, none claimed.</w:t>
            </w:r>
          </w:p>
        </w:tc>
      </w:tr>
    </w:tbl>
    <w:p>
      <w:pPr>
        <w:pStyle w:val="Heading1"/>
      </w:pPr>
      <w:r>
        <w:t>Business status and roadmap</w:t>
      </w:r>
    </w:p>
    <w:p>
      <w:r>
        <w:rPr>
          <w:b w:val="0"/>
          <w:i w:val="0"/>
          <w:sz w:val="22"/>
        </w:rPr>
        <w:t>CTDI is pre-revenue. Four adjacent verticals are identified: executive ground transportation, corporate travel and concierge platforms, aviation operations (decision support only), and executive protection. The intended commercial architecture remains client-held subscriptions: each client operator obtains and holds its own credentials for the underlying data sources (FAA SWIM, NWS, and similar); [operator LLC] supplies the software, integration, and decision-support layer and does not redistribute third-party data. Per-source access instructions and credential-request templates exist in the platform's data-source runbook today; automated tenant onboarding does not.</w:t>
      </w:r>
    </w:p>
    <w:p>
      <w:r>
        <w:rPr>
          <w:b w:val="0"/>
          <w:i w:val="0"/>
          <w:sz w:val="22"/>
        </w:rPr>
        <w:t>The public demo surface returned to service on 2026-08-24 after a nine-day outage, with its isolation from production data structurally enforced at the mount layer and adversarially verified the same day; its public access-gating policy is a pending founder decision, so demo access is arranged in diligence conversations rather than linked here. The demo replay corpus (2.45 GB of recorded operational history) is real and growing.</w:t>
      </w:r>
    </w:p>
    <w:p>
      <w:r>
        <w:rPr>
          <w:b w:val="0"/>
          <w:i w:val="0"/>
          <w:sz w:val="22"/>
        </w:rPr>
        <w:t>Near-term roadmap, in priority order: (1) productize — multi-tenancy, billing/entitlements, backup and DR, CI, and closure of the documented security hygiene items; (2) commission a first third-party security assessment; (3) formalize data rights for the fallback sources and finalize the BSL Additional Use Grant with counsel; (4) sign 2-3 design partners across the identified verticals using the replay-demo machinery; (5) de-risk the team — fund the founder full-time and make a first engineering hire. Maritime (AIS) ingest is documented, priced, and deliberately excluded from every live-capability claim until it is real; roadmap targets (AIS by end 2026, eVTOL operational awareness spring 2027) are founder-authoritative.</w:t>
      </w:r>
    </w:p>
    <w:p>
      <w:r>
        <w:rPr>
          <w:b w:val="0"/>
          <w:i w:val="0"/>
          <w:sz w:val="22"/>
        </w:rPr>
        <w:t>Live production read-outs can be arranged for diligence, as was done for the 2026-08-24 verification, pentest, and adversarial re-verification passes behind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